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E" w:rsidRPr="003F1B9E" w:rsidRDefault="003F1B9E" w:rsidP="003F1B9E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</w:pPr>
      <w:r w:rsidRPr="003F1B9E">
        <w:rPr>
          <w:rFonts w:eastAsia="Times New Roman" w:cs="Times New Roman"/>
          <w:b/>
          <w:bCs/>
          <w:kern w:val="0"/>
          <w:sz w:val="14"/>
          <w:szCs w:val="14"/>
          <w:lang w:eastAsia="ru-RU" w:bidi="ar-SA"/>
        </w:rPr>
        <w:t>О предоставлении лицами, замещающими муниципальные должности Вышнереутчанского сельсовета Медвенского района Курской области, сведений о доходах, расходах, об имуществе, обязательствах имущественного характера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РОССИЙСКАЯ ФЕДЕРАЦИЯ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 СОБРАНИЕ ДЕПУТАТОВ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 РЕШЕНИЕ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19.02.2016г № 50/241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 предоставлении лицами, замещающими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муниципальные должности Вышнереутчанского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сельсовета Медвенского района Курской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области, сведений о доходах,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расходах, об имуществе, обязательствах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имущественного характера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Федеральным законом от 25.12.2008 №273-ФЗ «О против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действии коррупции», Федеральным </w:t>
      </w:r>
      <w:hyperlink r:id="rId7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от 03.11.2015 №303-ФЗ «О внесении изменений в отдельные законодательные акты Российской Федерации», руков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дствуясь </w:t>
      </w:r>
      <w:hyperlink r:id="rId8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Уставом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муниципального образования «Вышнереутчанский сельсовет» Медвенского района Курской области, Собрание депутатов Вышнереутчанского сельсовета Медвенского района Курской области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РЕШИЛО: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1. Утвердить </w:t>
      </w:r>
      <w:hyperlink r:id="rId9" w:anchor="P45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Положение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 представлении лицами, замещающими муниц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пальные должности, сведений о доходах, расходах, об имуществе, обязательс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вах имущественного характера (приложение 1).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2. Утвердить </w:t>
      </w:r>
      <w:hyperlink r:id="rId10" w:anchor="P81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Положение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 комиссии по контролю за достоверностью св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3. Утвердить </w:t>
      </w:r>
      <w:hyperlink r:id="rId11" w:anchor="P128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состав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комиссии по контролю за достоверностью сведений о доходах, об имуществе и обязательствах имущественного характера, предста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ляемых лицами, замещающими муниципальные должности (приложение 3).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4. Администрации Вышнереутчанского сельсовета Медвенского района Курской области обеспечить размещение настоящего решения на официальном сайте Администрации Вышнереутчанского сельсовета Медвенского района Ку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ской области.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5.</w:t>
      </w:r>
      <w:r w:rsidRPr="003F1B9E">
        <w:rPr>
          <w:rFonts w:ascii="Arial" w:eastAsia="Times New Roman" w:hAnsi="Arial" w:cs="Arial"/>
          <w:color w:val="323232"/>
          <w:kern w:val="0"/>
          <w:lang w:eastAsia="ru-RU" w:bidi="ar-SA"/>
        </w:rPr>
        <w:t>Настоящее решение вступает в силу со дня его подписания, опубликов</w:t>
      </w:r>
      <w:r w:rsidRPr="003F1B9E">
        <w:rPr>
          <w:rFonts w:ascii="Arial" w:eastAsia="Times New Roman" w:hAnsi="Arial" w:cs="Arial"/>
          <w:color w:val="323232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323232"/>
          <w:kern w:val="0"/>
          <w:lang w:eastAsia="ru-RU" w:bidi="ar-SA"/>
        </w:rPr>
        <w:t>ния (обнародования).</w:t>
      </w:r>
    </w:p>
    <w:p w:rsidR="003F1B9E" w:rsidRPr="003F1B9E" w:rsidRDefault="003F1B9E" w:rsidP="003F1B9E">
      <w:pPr>
        <w:widowControl/>
        <w:shd w:val="clear" w:color="auto" w:fill="FFFFFF"/>
        <w:suppressAutoHyphens w:val="0"/>
        <w:autoSpaceDN/>
        <w:spacing w:before="6"/>
        <w:ind w:left="28" w:right="295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hd w:val="clear" w:color="auto" w:fill="FFFFFF"/>
        <w:suppressAutoHyphens w:val="0"/>
        <w:autoSpaceDN/>
        <w:spacing w:before="6"/>
        <w:ind w:left="28" w:right="295" w:firstLine="6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Председатель Собрания депутатов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сельсовета Л.Н.Патрикеева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Глава Вышнереутчанского сельсовета А.Г.Подтуркин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1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Утверждено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Решением Собрания депутатов Вышнереутчанского сельсовета Медвенского района Курской 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ласти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от 19.02.2016г. № 50/241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bookmarkStart w:id="0" w:name="P45"/>
      <w:bookmarkEnd w:id="0"/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ПОЛОЖЕНИЕ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1. Настоящим Положением определяется порядок представления лицами, замещающими муниципальные должности Администрации Вышнереутчанского сельсовета Медвенского района Курской области, в том числе Гл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вой Вышнереутчанского сельсовета Медвенского района Курской области, деп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татами Собрания депутатов Вышнереутчанского сельсовета Медвенского района Курской области (далее – лица, замещающие муниципальные должности), свед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ний о полученных ими доходах, об имуществе, принадлежащем им на праве со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лежащем им на праве собственности, и об их обязательствах имущественного х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ной им, его супругой (супругом) и (или) несовершеннолетними детьми в течение календарного года, предшествующего году представления сведений (далее - 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bookmarkStart w:id="1" w:name="P51"/>
      <w:bookmarkStart w:id="2" w:name="_GoBack"/>
      <w:bookmarkEnd w:id="1"/>
      <w:bookmarkEnd w:id="2"/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2. Лицо, замещающее муниципальную должность, ежегодно не позднее 1 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п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реля года, следующего за отчетным календарным годом, представляет следу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щие сведения о доходах, расходах, об имуществе и обязательствах имуществе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риода;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2) сведения о доходах супруги (супруга) и несовершеннолетних детей, пол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ченных за отчетный период (с 1 января по 31 декабря) от всех источников (вкл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ной им, его супругой (супругом) и (или) несовершеннолетними детьми в течение календарного года, предшествующего году представления сведений (далее - 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3. Сведения о доходах, расходах, об имуществе и обязательствах имущес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представляются по форме справки, утвержденной Указом Пр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зидента Российской Федерации от 23 июня 2014 года N 460 «Об утверждении формы справки о доходах, расходах, об имуществе и обязательствах имущес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и внесении изменений в некоторые акты Президента Росси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ской Федерации».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4. Сведения о доходах, расходах, об имуществе и обязательствах имущес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представляются: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1) Главой Вышнереутчанского сельсовета Медвенского района Курской 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ласти - в Администрацию Вышнереутчанского сельсовета Медвенского района Курской области;</w:t>
      </w:r>
    </w:p>
    <w:p w:rsidR="003F1B9E" w:rsidRPr="003F1B9E" w:rsidRDefault="003F1B9E" w:rsidP="003F1B9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2) депутатами Собрания депутатов Вышнереутчанского сельсов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та Медвенского района Курской области – в Собрания депут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тов Вышнереутчанского сельсовета Медвенского района Курской области.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Сведения о доходах, расходах, об имуществе и обязательствах имуществе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 представленные лицами, замещающими муниципальные должн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сти, регистрируются в журнале учета сведений о доходах, расходах, об имущес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 и обязательствах имущественного характера, представляемых лицами, зам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щающими муниципальные должности.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5. В случае если лицо, замещающее муниципальную должность, обнаружило, что в представленных им сведениях о доходах, расходах, об имуществе и обяз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 </w:t>
      </w:r>
      <w:hyperlink r:id="rId12" w:anchor="P51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2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ляемых лицами, замещающими муниципальные должности (далее - Комиссия).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Положение о Комиссии и ее состав утверждаются решением Собрания деп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татов Вышнереутчанского сельсовета Медвенского района Курской области.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я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ется в письменной форме.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цами либо комиссиями иных органов и организаций.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а) правоохранительными органами, иными государственными органами, 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ганами местного самоуправления и их должностными лицами;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ных объединений, не являющихся политическими партиями, а также регионал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ных отделений политических партий, межрегиональных и региональных общес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венных объединений;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в) Общественной палатой Российской Федерации, Общественной палатой Курской области;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г) общероссийскими, областными, муниципальными средствами массовой информации.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6.4. Информация анонимного характера не может служить основанием для проверки.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6.5. Проверка осуществляется в срок, не превышающий 60 дней со дня пр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нятия решения о ее проведении. Срок проверки может быть продлен комиссией до 90 дней.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6.6. При осуществлении проверки Комиссия вправе: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а) проводить собеседование с лицом, замещающим муниципальную дол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ж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ность;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щественного характера и материалам;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bookmarkStart w:id="3" w:name="P55"/>
      <w:bookmarkEnd w:id="3"/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г) направлять в установленном порядке запросы (кроме запросов в креди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ные организации, налоговые органы Российской Федерации и органы, осущест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ляющие государственную регистрацию прав на недвижимое имущество и сделок с ним) в органы прокуратуры Российской Федерации, следственные органы Следс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комитета Российской Федерации, иные территориальные органы фед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дах, об имуществе и обязательствах имущественного характера лица, замеща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щего муниципальную должность, его супруги (супруга) и несовершеннолетних 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тей; о достоверности и полноте сведений о доходах, об имуществе и об обяз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тельствах имущественного характера, представленных лицом, замещающим м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ниципальную должность в соответствии с нормативными правовыми актами Ро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сийской Федерации и Курской области; о соблюдении лицом, замещающим мун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ципальную должность, установленных ограничений и обязанностей;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д) наводить справки у физических лиц и получать от них информацию с их согласия;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е) осуществлять анализ сведений, представленных лицом, замещающим м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ниципальную должность, в соответствии с </w:t>
      </w:r>
      <w:hyperlink r:id="rId13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законодательством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Российской Фед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рации о противодействии коррупции.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ж) обращаться с просьбой к Губернатору Курской области или уполномоче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6.7. Комиссия обеспечивает: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bookmarkStart w:id="4" w:name="P77"/>
      <w:bookmarkEnd w:id="4"/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ем, подлежат проверке, - в течение семи рабочих дней со дня получения обращ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ния лица, замещающего муниципальную должность, а при наличии уважительной причины - в срок, согласованный с лицом, замещающим муниципальную дол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ж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ность.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6.8. По окончании проверки Комиссия обязана ознакомить лицо, замеща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щее муниципальную должность, с результатами проверки с соблюден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ем </w:t>
      </w:r>
      <w:hyperlink r:id="rId14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законодательства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Российской Федерации об информации, информационных технологиях и о защите информации, о персональных данных.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6.9. Лицо, замещающее муниципальную должность, вправе: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а) давать пояснения в письменной форме: в ходе проверки; по вопросам, указанным в </w:t>
      </w:r>
      <w:hyperlink r:id="rId15" w:anchor="P77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подпункте "б" пункта 6.7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Положения; по результатам проверки;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б) представлять дополнительные материалы и давать по ним пояснения в письменной форме;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в) обращаться в Комиссию с подлежащим удовлетворению ходатайством о проведении с ним беседы по вопросам, указанным в </w:t>
      </w:r>
      <w:hyperlink r:id="rId16" w:anchor="P77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подпункте «б» пункта 6.7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6.10. Пояснения, указанные в </w:t>
      </w:r>
      <w:hyperlink r:id="rId17" w:anchor="P79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6.9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Положения, приобщаю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ся к материалам проверки.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6.11. По результатам проверки комиссией в установленном порядке готови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ся протокол, при этом в протоколе должно содержаться одно из предложений, указанных в пунктах 10 и 11 Положения о комиссии по контролю за достоверн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стью сведений о доходах, об имуществе и обязательствах имущественного хара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к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тера, предоставляемых лицами, замещающими муниципальные должности.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В случае установления, что сведения, предоставленные лицом, замеща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ю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щим муниципальную должность, являются недостоверными и (или) неполными, а также в случае несоблюдения лицом, замещающим муниципальную должность, ограничений, запретов, неисполнения обязанностей, установленных Федерал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ным </w:t>
      </w:r>
      <w:hyperlink r:id="rId18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от 25 декабря 2008 года №273-ФЗ «О противодействии коррупции», Федеральным </w:t>
      </w:r>
      <w:hyperlink r:id="rId19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от 3 декабря 2012 года №230-ФЗ «О контроле за соотве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ствием расходов лиц, замещающих государственные должности, и иных лиц их доходам», Федеральным </w:t>
      </w:r>
      <w:hyperlink r:id="rId20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от 7 мая 2013 года №79-ФЗ «О запрете отдел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ным категориям лиц открывать и иметь счета (вклады), хранить наличные дене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ж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 </w:t>
      </w:r>
      <w:hyperlink r:id="rId21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от 6 октября 2003 года №131-ФЗ «Об общих принципах организации местного самоуправления в Росси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ской Федерации», Комиссия вносит на заседание Собрания депут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тов Вышнереутчанского сельсовета Медвенского района Курской области пре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ложение о применении к лицу, замещающим муниципальную должность, мер юридической ответственности, предусмотренных Федеральными законами.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териалы об этом представляются в государственные органы в соответствии с их компетенцией.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тельствах имущественного характера супруги (супруга) и несовершеннолетних детей данный факт подлежит рассмотрению на заседании Комиссии, на основ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нии обращения лица, замещающего муниципальную должность.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8. Сведения о доходах, об имуществе и обязательствах имущественного х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рактера, представляемые в соответствии с настоящим Положением лицами, з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мещающими муниципальные должности, являются сведениями конфиденциал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характера, если федеральным законом они не отнесены к сведениям, 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ставляющим государственную тайну.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федеральным законодательством сведения о расходах, представляемые в соответствии с Федеральным </w:t>
      </w:r>
      <w:hyperlink r:id="rId22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от 3 декабря 2012 года №230-ФЗ «О контроле за соответствием расходов лиц, замещающих государс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венные должности, и иных лиц их доходам» лицами, замещающими муниципал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ные должности, относятся к информации ограниченного доступа, если федерал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ным законом они не отнесены к сведениям, составляющим государственную та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ну.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Член комиссии добровольно принимает на себя обязательство о неразгл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шении сведений, затрагивающих честь и достоинство граждан, и другой конф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денциальной информации, которая рассматривается комиссией.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Информация, полученная комиссией, может быть использована только в п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рядке, предусмотренном федеральным законодательством </w:t>
      </w:r>
      <w:hyperlink r:id="rId23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об информации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, 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формационных технологиях и о защите информации, </w:t>
      </w:r>
      <w:hyperlink r:id="rId24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 персональных данных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9. Контроль за расходами лица, замещающего муниципальную должность, а также за расходами его супруги (супруга) и несовершеннолетних детей осущест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ляется в порядке, установленном Федеральным </w:t>
      </w:r>
      <w:hyperlink r:id="rId25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от 3 декабря 2012 года №230-ФЗ «О контроле за соответствием расходов лиц, замещающих государс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венные должности, и иных лиц их доходам», Законом Курской области от 28 ма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та 2013 года №20-ЗКО «О некоторых вопросах контроля за соответствием расх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дов лиц, замещающих государственные должности, и иных лиц их доходам в Ку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р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ской области» и иными нормативными правовыми актами Курской области.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10. Сведения о доходах, расходах, об имуществе и обязательствах имущес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 лица, замещающего муниципальную должность, его супруги (супруга) и несовершеннолетних детей размещаются на официальном сайте 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министрации Вышнереутчанского сельсовета Медвенского района Курской обла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ти в информационно-телекоммуникационной сети «Интернет», а в случае отсутс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bookmarkStart w:id="5" w:name="Par0"/>
      <w:bookmarkEnd w:id="5"/>
      <w:r w:rsidRPr="003F1B9E">
        <w:rPr>
          <w:rFonts w:ascii="Arial" w:eastAsia="Times New Roman" w:hAnsi="Arial" w:cs="Arial"/>
          <w:kern w:val="0"/>
          <w:lang w:eastAsia="ru-RU" w:bidi="ar-SA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кования следующие сведения о доходах, расходах, об имуществе и обязательс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вах имущественного характера лиц, замещающих муниципальные должности, а также сведений о доходах, расходах, об имуществе и обязательствах имущес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венного характера их супруг (супругов) и несовершеннолетних детей: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а) перечень объектов недвижимого имущества, принадлежащих лицу, зам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щающему муниципальную должность, его супруге (супругу) и несовершенноле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ним детям на праве собственности или находящихся в их пользовании, с указан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ем вида, площади и страны расположения каждого из таких объектов;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б) перечень транспортных средств с указанием вида и марки, принадлеж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щих на праве собственности лицу, замещающим муниципальную должность, его супруге (супругу) и несовершеннолетним детям;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п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руга) за три последних года, предшествующих отчетному периоду.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12. В размещаемых на официальных сайтах и предоставляемых общеро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с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сийским, областным, муниципальным средствам массовой информации для опу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б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ликования сведениях о доходах, расходах, об имуществе и обязательствах им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щественного характера запрещается указывать: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а) иные сведения (кроме указанных в </w:t>
      </w:r>
      <w:hyperlink r:id="rId26" w:anchor="Par0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11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 настоящего положения) о д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ходах лица, замещающего муниципальную должность, его супруги (супруга) и н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в) данные, позволяющие определить место жительства, почтовый адрес, т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лефон и иные индивидуальные средства коммуникации лица, замещающего м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у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ниципальную должность, его супруги (супруга), детей и иных членов семьи;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г) данные, позволяющие определить местонахождение объектов недвижим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го имущества, принадлежащих лицу, замещающим муниципальную должность, его супруге (супругу), детям, иным членам семьи на праве собственности или н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ходящихся в их пользовании;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д) информацию, отнесенную к </w:t>
      </w:r>
      <w:hyperlink r:id="rId27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государственной тайне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 или являющу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ю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ся </w:t>
      </w:r>
      <w:hyperlink r:id="rId28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конфиденциальной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13. Сведения о доходах, расходах, об имуществе и обязательствах имущес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характера, указанные в </w:t>
      </w:r>
      <w:hyperlink r:id="rId29" w:anchor="Par0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 11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района Администрации Вышнереутчанского сельсов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та Медвенского района Курской области 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14. Размещение на официальных сайтах в разделах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начальником отдела по работе с обращениями, делопроизводс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ву и кадровым вопросам Администрации Вышнереутчанского сельсов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та Медвенского района Курской области, в срок, установленный п. 13 настоящего Положения.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15. При запросе сведений о доходах, расходах, об имуществе и обязательс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вах имущественного характера, представляемых лицами, замещающими муниц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пальные должности, средствами массовой информации для опубликования пре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седатель комиссии: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1) в 3-дневный срок со дня поступления запроса от средства массовой 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формации сообщает о нем лицу, замещающему муниципальную должность, в 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ношении которого поступил запрос;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2) в 10-дневный срок со дня поступления запроса от средства массовой 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формации обеспечивает предоставление по запросу сведений, указанных в </w:t>
      </w:r>
      <w:hyperlink r:id="rId30" w:anchor="P178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пункте</w:t>
        </w:r>
      </w:hyperlink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 11 настоящего Положения, в том случае, если запрашиваемые сведения отсутствуют на официальном сайте Администрации Вышнереутчанского сельс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вета Медвенского района Курской области в информационно-телекоммуникационной сети «Интернет», либо указывает электронный адрес официального сайта, на котором размещена запрашиваемая информация.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сией, подлежит размещению на официальном са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те</w:t>
      </w:r>
      <w:r w:rsidRPr="003F1B9E">
        <w:rPr>
          <w:rFonts w:ascii="Arial" w:eastAsia="Times New Roman" w:hAnsi="Arial" w:cs="Arial"/>
          <w:color w:val="000000"/>
          <w:kern w:val="0"/>
          <w:vertAlign w:val="superscript"/>
          <w:lang w:eastAsia="ru-RU" w:bidi="ar-SA"/>
        </w:rPr>
        <w:t>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Администрации Вышнереутчанского сельсовета Медвенского района</w:t>
      </w:r>
      <w:r w:rsidRPr="003F1B9E">
        <w:rPr>
          <w:rFonts w:ascii="Arial" w:eastAsia="Times New Roman" w:hAnsi="Arial" w:cs="Arial"/>
          <w:color w:val="000000"/>
          <w:kern w:val="0"/>
          <w:vertAlign w:val="superscript"/>
          <w:lang w:eastAsia="ru-RU" w:bidi="ar-SA"/>
        </w:rPr>
        <w:t>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Курской области в информационно-телекоммуникационной сети «Интернет».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17. Сведения о доходах, расходах, об имуществе и обязательствах имущес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венного характера, представленные в соответствии с настоящим Положением л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цом, замещающим муниципальную должность, представляются им ежегодно. Ук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занные сведения, а также информация о результатах проверки достоверности и полноты этих сведений приобщаются к личному делу лица, замещающего мун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ного срока хранения сведения о доходах, расходах, об имуществе и обязательс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вах имущественного характера, представленные лицом, замещающим муниц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пальную должность, уничтожаются в установленном порядке.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ного характера лицо, замещающее муниципальную должность, несет ответстве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ность в соответствии с законодательством Российской Федерации.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2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Утверждено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Решением Собрания депутатов Вышнереутчанского сельсовета Медвенского района Курской 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б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ласти</w:t>
      </w:r>
    </w:p>
    <w:p w:rsidR="003F1B9E" w:rsidRPr="003F1B9E" w:rsidRDefault="003F1B9E" w:rsidP="003F1B9E">
      <w:pPr>
        <w:widowControl/>
        <w:suppressAutoHyphens w:val="0"/>
        <w:autoSpaceDN/>
        <w:ind w:left="5528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от 19.02.2016г. № 50/241</w:t>
      </w:r>
    </w:p>
    <w:p w:rsidR="003F1B9E" w:rsidRPr="003F1B9E" w:rsidRDefault="003F1B9E" w:rsidP="003F1B9E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bookmarkStart w:id="6" w:name="P81"/>
      <w:bookmarkEnd w:id="6"/>
      <w:r w:rsidRPr="003F1B9E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3F1B9E" w:rsidRPr="003F1B9E" w:rsidRDefault="003F1B9E" w:rsidP="003F1B9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 КОМИССИИ ПО КОНТРОЛЮ ЗА ДОСТОВЕРНОСТЬЮ СВЕДЕНИЙ О ДОХОДАХ, ОБ ИМУЩЕСТВЕ И ОБЯЗАТЕЛЬСТВАХ ИМУЩЕСТВЕНН</w:t>
      </w:r>
      <w:r w:rsidRPr="003F1B9E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</w:t>
      </w:r>
      <w:r w:rsidRPr="003F1B9E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ГО ХАРАКТЕРА, ПРЕДСТАВЛЯЕМЫХ ЛИЦАМИ, ЗАМЕЩАЮЩИМИ МУНИЦИПАЛЬНЫЕ ДОЛЖНОСТИ</w:t>
      </w:r>
    </w:p>
    <w:p w:rsidR="003F1B9E" w:rsidRPr="003F1B9E" w:rsidRDefault="003F1B9E" w:rsidP="003F1B9E">
      <w:pPr>
        <w:widowControl/>
        <w:suppressAutoHyphens w:val="0"/>
        <w:autoSpaceDN/>
        <w:ind w:firstLine="539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у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ществе и обязательствах имущественного характера, представляемых лицами, замещающими муниципальные должности в соответствии с действующим законод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а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тельством (далее - Комиссия).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2. Комиссия в своей деятельности руководствуе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т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ся </w:t>
      </w:r>
      <w:hyperlink r:id="rId31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Конституцией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 Российской Федерации, федеральными конституционными зак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нами, федеральными законами, правовыми актами Президента Российской Фед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рации и Правительства Российской Федерации, законами Курской области, пост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новлениями и распоряжениями Губернатора Курской области, Администрации Курской области, </w:t>
      </w:r>
      <w:hyperlink r:id="rId32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Уставом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 муниципального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образования «Вышнереутчанский сельсовет» Медвенского района</w:t>
      </w:r>
      <w:r w:rsidRPr="003F1B9E">
        <w:rPr>
          <w:rFonts w:ascii="Arial" w:eastAsia="Times New Roman" w:hAnsi="Arial" w:cs="Arial"/>
          <w:kern w:val="0"/>
          <w:lang w:eastAsia="ru-RU" w:bidi="ar-SA"/>
        </w:rPr>
        <w:t> Курской области, решениями Собрания депут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тов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 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Медвенского района Курской области, а также настоящим Положением.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3. Комиссия уполномочена осуществлять проверку: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bookmarkStart w:id="7" w:name="P89"/>
      <w:bookmarkEnd w:id="7"/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а) достоверности и полноты представляемых лицами, замещающими муниципальные должности Администр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а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ции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 Курской области, в том числе Главой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вета 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Медвенского района Курской области,</w:t>
      </w:r>
      <w:r w:rsidRPr="003F1B9E">
        <w:rPr>
          <w:rFonts w:ascii="Arial" w:eastAsia="Times New Roman" w:hAnsi="Arial" w:cs="Arial"/>
          <w:i/>
          <w:iCs/>
          <w:kern w:val="0"/>
          <w:sz w:val="12"/>
          <w:lang w:eastAsia="ru-RU" w:bidi="ar-SA"/>
        </w:rPr>
        <w:t> 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депутатами Собрания депутатов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 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Медвенского района Курской области (далее – лица, 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б) соблюдения лицами, замещающими должности, указанные в </w:t>
      </w:r>
      <w:hyperlink r:id="rId33" w:anchor="P89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подпункте «а»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 настоящего пункта, их супругами и несовершеннолетними детьми устано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в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ленных для них запретов и ограничений, а также исполнения ими своих обязанн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о</w:t>
      </w:r>
      <w:r w:rsidRPr="003F1B9E">
        <w:rPr>
          <w:rFonts w:ascii="Arial" w:eastAsia="Times New Roman" w:hAnsi="Arial" w:cs="Arial"/>
          <w:kern w:val="0"/>
          <w:lang w:eastAsia="ru-RU" w:bidi="ar-SA"/>
        </w:rPr>
        <w:t>стей, которые установлены Федеральным </w:t>
      </w:r>
      <w:hyperlink r:id="rId34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законом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 от 25 декабря 2008 года №273-ФЗ «О противодействии коррупции» и другими федеральными законами, закон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а</w:t>
      </w:r>
      <w:r w:rsidRPr="003F1B9E">
        <w:rPr>
          <w:rFonts w:ascii="Arial" w:eastAsia="Times New Roman" w:hAnsi="Arial" w:cs="Arial"/>
          <w:kern w:val="0"/>
          <w:lang w:eastAsia="ru-RU" w:bidi="ar-SA"/>
        </w:rPr>
        <w:t>ми Курской области.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с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Персональный состав комиссии определяется решением Собрания депутатов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та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 Медвенского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с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смотрении вопроса, включенного в повестку дня заседания Комиссии, он обязан до начала заседания заявить об этом. В таком случае соответствующий член к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о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миссии не принимает участия в рассмотрении указанного вопроса.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lang w:eastAsia="ru-RU" w:bidi="ar-SA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35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об информации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, информационных технологиях и о защите информации, </w:t>
      </w:r>
      <w:hyperlink r:id="rId36" w:history="1">
        <w:r w:rsidRPr="003F1B9E">
          <w:rPr>
            <w:rFonts w:ascii="Arial" w:eastAsia="Times New Roman" w:hAnsi="Arial" w:cs="Arial"/>
            <w:color w:val="33A6E3"/>
            <w:kern w:val="0"/>
            <w:lang w:eastAsia="ru-RU" w:bidi="ar-SA"/>
          </w:rPr>
          <w:t>о персональных данных</w:t>
        </w:r>
      </w:hyperlink>
      <w:r w:rsidRPr="003F1B9E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т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венного характера Комиссия принимает одно из следующих решений: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н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тересов Комиссия принимает одно из следующих решений: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Решения Комиссии принимаются простым большинством голосов.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13. В протоколе заседания комиссии указываются: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ю</w:t>
      </w: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5) фамилии, имена, отчества выступивших на заседании лиц и краткое изложение их выступлений;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7) другие сведения;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8) результаты голосования;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lastRenderedPageBreak/>
        <w:t>9) решение и обоснование его принятия.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Приложение 3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Утверждено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Решением </w:t>
      </w: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Собрания депутатов Вышнереутчанского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color w:val="000000"/>
          <w:kern w:val="0"/>
          <w:lang w:eastAsia="ru-RU" w:bidi="ar-SA"/>
        </w:rPr>
        <w:t>сельсовета Медвенского района Курской области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kern w:val="0"/>
          <w:sz w:val="12"/>
          <w:szCs w:val="12"/>
          <w:lang w:eastAsia="ru-RU" w:bidi="ar-SA"/>
        </w:rPr>
        <w:t>от 19.02.2016г. № 50/241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eastAsia="Times New Roman" w:cs="Times New Roman"/>
          <w:kern w:val="0"/>
          <w:sz w:val="12"/>
          <w:szCs w:val="12"/>
          <w:lang w:eastAsia="ru-RU" w:bidi="ar-SA"/>
        </w:rPr>
        <w:t> 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СОСТАВ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КОМИССИИ ПО КОНТРОЛЮ ЗА ДОСТОВЕРНОСТЬЮ СВЕД</w:t>
      </w: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Е</w:t>
      </w: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НИЙ О ДОХОДАХ,</w:t>
      </w:r>
    </w:p>
    <w:p w:rsidR="003F1B9E" w:rsidRPr="003F1B9E" w:rsidRDefault="003F1B9E" w:rsidP="003F1B9E">
      <w:pPr>
        <w:widowControl/>
        <w:suppressAutoHyphens w:val="0"/>
        <w:autoSpaceDN/>
        <w:ind w:firstLine="782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ru-RU" w:bidi="ar-SA"/>
        </w:rPr>
      </w:pP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ОБ ИМУЩЕСТВЕ И ОБЯЗАТЕЛЬСТВАХ ИМУЩЕСТВЕННОГО ХАРАКТЕРА, ПРЕДСТАВЛЯЕМЫХ ЛИЦАМИ, ЗАМЕЩАЮЩИМИ М</w:t>
      </w: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У</w:t>
      </w:r>
      <w:r w:rsidRPr="003F1B9E">
        <w:rPr>
          <w:rFonts w:ascii="Arial" w:eastAsia="Times New Roman" w:hAnsi="Arial" w:cs="Arial"/>
          <w:b/>
          <w:bCs/>
          <w:kern w:val="0"/>
          <w:sz w:val="27"/>
          <w:lang w:eastAsia="ru-RU" w:bidi="ar-SA"/>
        </w:rPr>
        <w:t>НИЦИПАЛЬНЫЕ ДОЛЖНОСТИ</w:t>
      </w:r>
    </w:p>
    <w:tbl>
      <w:tblPr>
        <w:tblW w:w="61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22"/>
        <w:gridCol w:w="152"/>
        <w:gridCol w:w="4476"/>
      </w:tblGrid>
      <w:tr w:rsidR="003F1B9E" w:rsidRPr="003F1B9E" w:rsidTr="003F1B9E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Председ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а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тель комиссии: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B9E" w:rsidRPr="003F1B9E" w:rsidTr="003F1B9E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Подтуркин А.Г.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Глава 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о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вета 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</w:tc>
      </w:tr>
      <w:tr w:rsidR="003F1B9E" w:rsidRPr="003F1B9E" w:rsidTr="003F1B9E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Замест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и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тель председателя комиссии: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B9E" w:rsidRPr="003F1B9E" w:rsidTr="003F1B9E">
        <w:trPr>
          <w:trHeight w:val="645"/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Патрике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е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ва Л.Н.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Председатель Собрания депут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а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тов 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сельсов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та 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</w:tc>
      </w:tr>
      <w:tr w:rsidR="003F1B9E" w:rsidRPr="003F1B9E" w:rsidTr="003F1B9E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Секретарь комиссии: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B9E" w:rsidRPr="003F1B9E" w:rsidTr="003F1B9E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Бабин В.Н.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Начальник отдела по работе с обращениями, делопроизводс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т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ву и кадровым вопр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о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сам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 Администрации 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ь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совета 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</w:tc>
      </w:tr>
      <w:tr w:rsidR="003F1B9E" w:rsidRPr="003F1B9E" w:rsidTr="003F1B9E">
        <w:trPr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Члены к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о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миссии:</w:t>
            </w:r>
          </w:p>
        </w:tc>
        <w:tc>
          <w:tcPr>
            <w:tcW w:w="6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3F1B9E" w:rsidRPr="003F1B9E" w:rsidTr="003F1B9E">
        <w:trPr>
          <w:trHeight w:val="1710"/>
          <w:tblCellSpacing w:w="0" w:type="dxa"/>
        </w:trPr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Подтурк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и</w:t>
            </w: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на Г.Е.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Гахов А.И.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kern w:val="0"/>
                <w:sz w:val="12"/>
                <w:szCs w:val="12"/>
                <w:lang w:eastAsia="ru-RU" w:bidi="ar-SA"/>
              </w:rPr>
              <w:t>-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ind w:firstLine="78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F1B9E" w:rsidRPr="003F1B9E" w:rsidRDefault="003F1B9E" w:rsidP="003F1B9E">
            <w:pPr>
              <w:widowControl/>
              <w:shd w:val="clear" w:color="auto" w:fill="EEEEEE"/>
              <w:suppressAutoHyphens w:val="0"/>
              <w:autoSpaceDN/>
              <w:ind w:firstLine="782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Начальник бюджетного учёта и отчётности Администр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а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ции 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сельсов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та 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  <w:p w:rsidR="003F1B9E" w:rsidRPr="003F1B9E" w:rsidRDefault="003F1B9E" w:rsidP="003F1B9E">
            <w:pPr>
              <w:widowControl/>
              <w:shd w:val="clear" w:color="auto" w:fill="EEEEEE"/>
              <w:suppressAutoHyphens w:val="0"/>
              <w:autoSpaceDN/>
              <w:ind w:firstLine="782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3F1B9E" w:rsidRPr="003F1B9E" w:rsidRDefault="003F1B9E" w:rsidP="003F1B9E">
            <w:pPr>
              <w:widowControl/>
              <w:shd w:val="clear" w:color="auto" w:fill="EEEEEE"/>
              <w:suppressAutoHyphens w:val="0"/>
              <w:autoSpaceDN/>
              <w:ind w:firstLine="782"/>
              <w:jc w:val="both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Депутат Собрания депут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а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тов 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Вышнереутчанского сельсов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е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та </w:t>
            </w:r>
            <w:r w:rsidRPr="003F1B9E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ru-RU" w:bidi="ar-SA"/>
              </w:rPr>
              <w:t>Медвенского района Курской области</w:t>
            </w:r>
          </w:p>
          <w:p w:rsidR="003F1B9E" w:rsidRPr="003F1B9E" w:rsidRDefault="003F1B9E" w:rsidP="003F1B9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D02555" w:rsidRPr="003F1B9E" w:rsidRDefault="00D02555" w:rsidP="003F1B9E"/>
    <w:sectPr w:rsidR="00D02555" w:rsidRPr="003F1B9E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60" w:rsidRDefault="00121C60" w:rsidP="00D02555">
      <w:r>
        <w:separator/>
      </w:r>
    </w:p>
  </w:endnote>
  <w:endnote w:type="continuationSeparator" w:id="0">
    <w:p w:rsidR="00121C60" w:rsidRDefault="00121C60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60" w:rsidRDefault="00121C60" w:rsidP="00D02555">
      <w:r w:rsidRPr="00D02555">
        <w:rPr>
          <w:color w:val="000000"/>
        </w:rPr>
        <w:separator/>
      </w:r>
    </w:p>
  </w:footnote>
  <w:footnote w:type="continuationSeparator" w:id="0">
    <w:p w:rsidR="00121C60" w:rsidRDefault="00121C60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31604"/>
    <w:rsid w:val="00072180"/>
    <w:rsid w:val="00121C60"/>
    <w:rsid w:val="00187423"/>
    <w:rsid w:val="00191738"/>
    <w:rsid w:val="001D2C5A"/>
    <w:rsid w:val="002445BC"/>
    <w:rsid w:val="002F65E0"/>
    <w:rsid w:val="003532A4"/>
    <w:rsid w:val="00373C46"/>
    <w:rsid w:val="003F1B9E"/>
    <w:rsid w:val="00475C30"/>
    <w:rsid w:val="0063676A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72F42F260A87E5D8533B20DAC4A49B103DCE80088C4DC44A5CF8C3A84513069565D62EB7kCwEI" TargetMode="External"/><Relationship Id="rId18" Type="http://schemas.openxmlformats.org/officeDocument/2006/relationships/hyperlink" Target="consultantplus://offline/ref=FA07593982FA661C936723959072D2F1139012BADD482F6BCE7C0589A5s2qAN" TargetMode="External"/><Relationship Id="rId26" Type="http://schemas.openxmlformats.org/officeDocument/2006/relationships/hyperlink" Target="http://vishereut.rkursk.ru/index.php?mun_obr=270&amp;sub_menus_id=39366&amp;num_str=1&amp;id_mat=31497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07593982FA661C936723959072D2F1139012B9D64F2F6BCE7C0589A5s2qAN" TargetMode="External"/><Relationship Id="rId34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http://vishereut.rkursk.ru/index.php?mun_obr=270&amp;sub_menus_id=39366&amp;num_str=1&amp;id_mat=314973" TargetMode="External"/><Relationship Id="rId17" Type="http://schemas.openxmlformats.org/officeDocument/2006/relationships/hyperlink" Target="http://vishereut.rkursk.ru/index.php?mun_obr=270&amp;sub_menus_id=39366&amp;num_str=1&amp;id_mat=314973" TargetMode="External"/><Relationship Id="rId25" Type="http://schemas.openxmlformats.org/officeDocument/2006/relationships/hyperlink" Target="consultantplus://offline/ref=FE6A600E995EAF74C441780B00CE3464DCBA781C48AD6DB7361A5CA14CyAg5H" TargetMode="External"/><Relationship Id="rId33" Type="http://schemas.openxmlformats.org/officeDocument/2006/relationships/hyperlink" Target="http://vishereut.rkursk.ru/index.php?mun_obr=270&amp;sub_menus_id=39366&amp;num_str=1&amp;id_mat=31497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shereut.rkursk.ru/index.php?mun_obr=270&amp;sub_menus_id=39366&amp;num_str=1&amp;id_mat=314973" TargetMode="External"/><Relationship Id="rId20" Type="http://schemas.openxmlformats.org/officeDocument/2006/relationships/hyperlink" Target="consultantplus://offline/ref=FA07593982FA661C936723959072D2F1139012B9D64F2F6BCE7C0589A5s2qAN" TargetMode="External"/><Relationship Id="rId29" Type="http://schemas.openxmlformats.org/officeDocument/2006/relationships/hyperlink" Target="http://vishereut.rkursk.ru/index.php?mun_obr=270&amp;sub_menus_id=39366&amp;num_str=1&amp;id_mat=3149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index.php?mun_obr=270&amp;sub_menus_id=39366&amp;num_str=1&amp;id_mat=314973" TargetMode="External"/><Relationship Id="rId24" Type="http://schemas.openxmlformats.org/officeDocument/2006/relationships/hyperlink" Target="consultantplus://offline/ref=9E607B2A5A38371027ACAED5BF34D76A30289027D5D35B94CDD07C83CBx1E6O" TargetMode="External"/><Relationship Id="rId32" Type="http://schemas.openxmlformats.org/officeDocument/2006/relationships/hyperlink" Target="consultantplus://offline/ref=FE6A600E995EAF74C441660616A26E69D9B92E124BAD60E76E4507FC1BAC96824A0055F5337F9E7700DF91yAg8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ishereut.rkursk.ru/index.php?mun_obr=270&amp;sub_menus_id=39366&amp;num_str=1&amp;id_mat=314973" TargetMode="External"/><Relationship Id="rId23" Type="http://schemas.openxmlformats.org/officeDocument/2006/relationships/hyperlink" Target="consultantplus://offline/ref=9E607B2A5A38371027ACAED5BF34D76A30279B20D4DC5B94CDD07C83CBx1E6O" TargetMode="External"/><Relationship Id="rId28" Type="http://schemas.openxmlformats.org/officeDocument/2006/relationships/hyperlink" Target="consultantplus://offline/ref=90C5D040E6B119114B9A48C2BFC564EA10A8FAE95AC1D6CD131EABF503B1A6463BFB1495D3573194XCpAP" TargetMode="External"/><Relationship Id="rId36" Type="http://schemas.openxmlformats.org/officeDocument/2006/relationships/hyperlink" Target="consultantplus://offline/ref=9E607B2A5A38371027ACAED5BF34D76A30289027D5D35B94CDD07C83CBx1E6O" TargetMode="External"/><Relationship Id="rId10" Type="http://schemas.openxmlformats.org/officeDocument/2006/relationships/hyperlink" Target="http://vishereut.rkursk.ru/index.php?mun_obr=270&amp;sub_menus_id=39366&amp;num_str=1&amp;id_mat=314973" TargetMode="External"/><Relationship Id="rId19" Type="http://schemas.openxmlformats.org/officeDocument/2006/relationships/hyperlink" Target="consultantplus://offline/ref=FA07593982FA661C936723959072D2F1139013BFD84A2F6BCE7C0589A5s2qAN" TargetMode="External"/><Relationship Id="rId31" Type="http://schemas.openxmlformats.org/officeDocument/2006/relationships/hyperlink" Target="consultantplus://offline/ref=FE6A600E995EAF74C441780B00CE3464DFBA771A44FF3AB5674F52yAg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9366&amp;num_str=1&amp;id_mat=314973" TargetMode="External"/><Relationship Id="rId14" Type="http://schemas.openxmlformats.org/officeDocument/2006/relationships/hyperlink" Target="consultantplus://offline/ref=72F42F260A87E5D8533B20DAC4A49B103DC18F0D8F4EC44A5CF8C3A845k1w3I" TargetMode="External"/><Relationship Id="rId22" Type="http://schemas.openxmlformats.org/officeDocument/2006/relationships/hyperlink" Target="consultantplus://offline/ref=FE6A600E995EAF74C441780B00CE3464DCBA781C48AD6DB7361A5CA14CyAg5H" TargetMode="External"/><Relationship Id="rId27" Type="http://schemas.openxmlformats.org/officeDocument/2006/relationships/hyperlink" Target="consultantplus://offline/ref=90C5D040E6B119114B9A48C2BFC564EA18A3F1E659CE8BC71B47A7F704BEF9513CB21894D35731X9p6P" TargetMode="External"/><Relationship Id="rId30" Type="http://schemas.openxmlformats.org/officeDocument/2006/relationships/hyperlink" Target="http://vishereut.rkursk.ru/index.php?mun_obr=270&amp;sub_menus_id=39366&amp;num_str=1&amp;id_mat=314973" TargetMode="External"/><Relationship Id="rId35" Type="http://schemas.openxmlformats.org/officeDocument/2006/relationships/hyperlink" Target="consultantplus://offline/ref=9E607B2A5A38371027ACAED5BF34D76A30279B20D4DC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5324</Words>
  <Characters>30348</Characters>
  <Application>Microsoft Office Word</Application>
  <DocSecurity>0</DocSecurity>
  <Lines>252</Lines>
  <Paragraphs>71</Paragraphs>
  <ScaleCrop>false</ScaleCrop>
  <Company/>
  <LinksUpToDate>false</LinksUpToDate>
  <CharactersWithSpaces>35601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41</cp:revision>
  <dcterms:created xsi:type="dcterms:W3CDTF">2023-09-29T04:14:00Z</dcterms:created>
  <dcterms:modified xsi:type="dcterms:W3CDTF">2023-09-29T04:40:00Z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