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54" w:rsidRDefault="00460D54" w:rsidP="003E54FD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"http://vishereut.rkursk.ru/index.php?mun_obr=270&amp;sub_menus_id=22506&amp;print=1&amp;id_mat=274467"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460D54" w:rsidRDefault="00460D54" w:rsidP="00460D5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Об утверждении плана мероприятий по профилактике терроризма и экстремизма на территории Вышнереутчанского сельсовета Медвенского района на 2019 год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 ВЫШНЕРЕУТЧАНСКОГО СЕЛЬСОВЕТА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 28.02.2018 года № 16-па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Об утверждении плана мероприятий по профилактике терроризма и экстремизма на территории Вышнереутчанского сельсовета Медвенского района на 2019 год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Вышнереутчанского сельсовета Медвенского района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1. Утвердить прилагаемый план мероприятий по профилактике терроризма и экстремизма на территории Вышнереутчанского сельсовета Медвенского района на 2019 год.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Контроль за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3. Постановление вступает в силу со дня его подписания.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И.о. Главы Вышнереутчанского сельсовета В.Н.Бабин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Приложение 1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к постановлению Администрации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Вышнереутчанского сельсовета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от 28.02.2019 г. №16-па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План</w:t>
      </w:r>
    </w:p>
    <w:p w:rsidR="00460D54" w:rsidRDefault="00460D54" w:rsidP="00460D54">
      <w:pPr>
        <w:pStyle w:val="a7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мероприятий по профилактике терроризма и экстремизма на территории Вышнереутчанского сельсовета Медвенского района на 2019год</w:t>
      </w:r>
    </w:p>
    <w:p w:rsidR="00460D54" w:rsidRDefault="00460D54" w:rsidP="00460D54">
      <w:pPr>
        <w:pStyle w:val="a7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7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2421"/>
        <w:gridCol w:w="2123"/>
        <w:gridCol w:w="1490"/>
        <w:gridCol w:w="1235"/>
        <w:gridCol w:w="130"/>
      </w:tblGrid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Исполнители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Срок исполнения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Примечание</w:t>
            </w:r>
          </w:p>
        </w:tc>
      </w:tr>
      <w:tr w:rsidR="00460D54" w:rsidTr="00460D54">
        <w:trPr>
          <w:tblCellSpacing w:w="0" w:type="dxa"/>
        </w:trPr>
        <w:tc>
          <w:tcPr>
            <w:tcW w:w="10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</w:rPr>
              <w:t>1. Организационные мероприятия в сфере профилактики терроризма и экстремизма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1.1.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Разработка плана мероприятий по профилактике терроризма и экстремизма на территории сельсовета на 2018 год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1 квартал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2019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1.2.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10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</w:rPr>
              <w:t>2. Мероприятия по профилактике терроризма и экстремизма на территории сельсовета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2.1.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сельсовета;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Вышнереутчанская СОШ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Вышнереутчанский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Постоянно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2.2.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Взятие под контроль места концентрации лиц, в том числе несовершеннолетних, склонных к противоправным действиям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сельсовета; Вышнереутчанская СОШ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Вышнереутчанский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2.3.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 xml:space="preserve">Проведение комплексных проверок мест с массовым пребыванием людей и объектов жизнеобеспечения на состояние </w:t>
            </w:r>
            <w:r>
              <w:lastRenderedPageBreak/>
              <w:t>антитеррористической защищенности: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- проверка наличия и исправности замков;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- проверка исправности изгороди и заборов ограждения, состояние освещения проверяемых объектов;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- чистота и порядок уборки территории объекта проверки;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lastRenderedPageBreak/>
              <w:t>Администрация сельсовета; Вышнереутчанская СОШ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Вышнереутчанский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lastRenderedPageBreak/>
              <w:t>2.4.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2.5.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Организация дежурства в праздничные дни, проведение инструктажа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2.6.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 xml:space="preserve">Проверка мест проведения мероприятий с массовым пребыванием людей на наличие взрывоопасных и </w:t>
            </w:r>
            <w:r>
              <w:lastRenderedPageBreak/>
              <w:t>иных посторонних предметов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lastRenderedPageBreak/>
              <w:t>Администрация сельсовета; Вышнереутчанская СОШ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Вышнереутчанский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 перед началом мероприятия 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lastRenderedPageBreak/>
              <w:t>2.7.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10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</w:rPr>
              <w:t>3. Информационн</w:t>
            </w:r>
            <w:proofErr w:type="gramStart"/>
            <w:r>
              <w:rPr>
                <w:rStyle w:val="ab"/>
              </w:rPr>
              <w:t>о-</w:t>
            </w:r>
            <w:proofErr w:type="gramEnd"/>
            <w:r>
              <w:rPr>
                <w:rStyle w:val="ab"/>
              </w:rPr>
              <w:t xml:space="preserve"> пропагандистское обеспечение профилактики терроризма и экстремизма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3.1.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Оборудование в Доме культуры информационного стенда с антитеррористической тематикой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Администрация сельсовета; Вышнереутчанский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3.2.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Пополнение фонда библиотеки материалами по профилактике и экстремизма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Амосовская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3.3.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Вышнереутчанский СДК</w:t>
            </w:r>
          </w:p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Вышнереутчанская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3.4.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Разработать тематику бесед с посетителями библиотеки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Вышнереутчанская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60D54" w:rsidTr="00460D54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3.5.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 xml:space="preserve">Оформление в библиотеке стенда с </w:t>
            </w:r>
            <w:r>
              <w:lastRenderedPageBreak/>
              <w:t>подборкой литературы и информационных материалов антитеррористической направленности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lastRenderedPageBreak/>
              <w:t>Вышнереутчанская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0" w:after="0"/>
              <w:jc w:val="both"/>
              <w:rPr>
                <w:sz w:val="12"/>
                <w:szCs w:val="12"/>
              </w:rPr>
            </w:pPr>
            <w: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60D54" w:rsidRDefault="00460D54">
            <w:pPr>
              <w:pStyle w:val="a7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460D54" w:rsidRDefault="00460D54" w:rsidP="00460D5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60D54" w:rsidRDefault="00460D54" w:rsidP="00460D5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3" name="Рисунок 6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Об утверждении плана мероприятий по профилактике терроризма и экстремизма на территории Вышнереутчанского сельсовета Медвенского района на 2019 год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460D54" w:rsidRDefault="00460D54" w:rsidP="00460D5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02.04.2019 14:28. Последнее изменение: 02.04.2019 14:28.</w:t>
      </w:r>
    </w:p>
    <w:p w:rsidR="00460D54" w:rsidRDefault="00460D54" w:rsidP="00460D5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997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460D54" w:rsidTr="00460D5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60D54" w:rsidRDefault="00460D54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60D54" w:rsidRDefault="00460D54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460D54" w:rsidRDefault="003F0FD2" w:rsidP="00460D54"/>
    <w:sectPr w:rsidR="003F0FD2" w:rsidRPr="00460D54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FD" w:rsidRDefault="003E54FD" w:rsidP="003F0FD2">
      <w:r>
        <w:separator/>
      </w:r>
    </w:p>
  </w:endnote>
  <w:endnote w:type="continuationSeparator" w:id="0">
    <w:p w:rsidR="003E54FD" w:rsidRDefault="003E54FD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FD" w:rsidRDefault="003E54FD" w:rsidP="003F0FD2">
      <w:r w:rsidRPr="003F0FD2">
        <w:rPr>
          <w:color w:val="000000"/>
        </w:rPr>
        <w:separator/>
      </w:r>
    </w:p>
  </w:footnote>
  <w:footnote w:type="continuationSeparator" w:id="0">
    <w:p w:rsidR="003E54FD" w:rsidRDefault="003E54FD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A5317BB"/>
    <w:multiLevelType w:val="multilevel"/>
    <w:tmpl w:val="50B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E54FD"/>
    <w:rsid w:val="003F0FD2"/>
    <w:rsid w:val="003F1D05"/>
    <w:rsid w:val="00460D54"/>
    <w:rsid w:val="004E5842"/>
    <w:rsid w:val="00521088"/>
    <w:rsid w:val="0052329C"/>
    <w:rsid w:val="0057305E"/>
    <w:rsid w:val="00591827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40DAC"/>
    <w:rsid w:val="00B504F3"/>
    <w:rsid w:val="00B72797"/>
    <w:rsid w:val="00B757D9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3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9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8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3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7446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48</cp:revision>
  <cp:lastPrinted>2020-05-26T10:08:00Z</cp:lastPrinted>
  <dcterms:created xsi:type="dcterms:W3CDTF">2023-09-29T17:51:00Z</dcterms:created>
  <dcterms:modified xsi:type="dcterms:W3CDTF">2023-09-30T04:05:00Z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