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83" w:rsidRDefault="00B62383" w:rsidP="00B62383">
      <w:pPr>
        <w:widowControl/>
        <w:numPr>
          <w:ilvl w:val="0"/>
          <w:numId w:val="27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hyperlink r:id="rId7" w:history="1">
        <w:r>
          <w:rPr>
            <w:rStyle w:val="ac"/>
            <w:rFonts w:ascii="Arial" w:hAnsi="Arial" w:cs="Arial"/>
            <w:color w:val="435D6B"/>
            <w:sz w:val="22"/>
            <w:szCs w:val="22"/>
          </w:rPr>
          <w:t>Перейти на версию для слабовидящих</w:t>
        </w:r>
      </w:hyperlink>
    </w:p>
    <w:p w:rsidR="00B62383" w:rsidRDefault="00B62383" w:rsidP="00B6238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ПРОЕКТ Об утверждении Генеральной схемы очистки территорий населенных пунктов Вышнереутчанского сельсовета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РОССИЙСКАЯ ФЕДЕРАЦИЯ</w:t>
      </w:r>
    </w:p>
    <w:p w:rsidR="00B62383" w:rsidRDefault="00B62383" w:rsidP="00B62383">
      <w:pPr>
        <w:pStyle w:val="a8"/>
        <w:shd w:val="clear" w:color="auto" w:fill="FFFFFF"/>
        <w:spacing w:before="0" w:after="0"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B62383" w:rsidRDefault="00B62383" w:rsidP="00B62383">
      <w:pPr>
        <w:pStyle w:val="a8"/>
        <w:shd w:val="clear" w:color="auto" w:fill="FFFFFF"/>
        <w:spacing w:before="0" w:after="0"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</w:t>
      </w:r>
    </w:p>
    <w:p w:rsidR="00B62383" w:rsidRDefault="00B62383" w:rsidP="00B62383">
      <w:pPr>
        <w:pStyle w:val="a8"/>
        <w:shd w:val="clear" w:color="auto" w:fill="FFFFFF"/>
        <w:spacing w:before="0" w:after="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 СЕЛЬСОВЕТА</w:t>
      </w:r>
    </w:p>
    <w:p w:rsidR="00B62383" w:rsidRDefault="00B62383" w:rsidP="00B62383">
      <w:pPr>
        <w:pStyle w:val="a8"/>
        <w:shd w:val="clear" w:color="auto" w:fill="FFFFFF"/>
        <w:spacing w:before="50" w:after="0" w:line="363" w:lineRule="atLeast"/>
        <w:ind w:left="1922" w:right="1548" w:firstLine="76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FFFFFF"/>
        <w:spacing w:before="0" w:after="0"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ПОСТАНОВЛЕНИЕ ПРОЕКТ</w:t>
      </w:r>
    </w:p>
    <w:p w:rsidR="00B62383" w:rsidRDefault="00B62383" w:rsidP="00B62383">
      <w:pPr>
        <w:pStyle w:val="a8"/>
        <w:shd w:val="clear" w:color="auto" w:fill="FFFFFF"/>
        <w:spacing w:before="50" w:after="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FFFFFF"/>
        <w:spacing w:before="0" w:after="0" w:line="363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от_________</w:t>
      </w:r>
      <w:r w:rsidRPr="00B62383">
        <w:rPr>
          <w:rFonts w:ascii="Tahoma" w:hAnsi="Tahoma" w:cs="Tahoma"/>
          <w:color w:val="000000"/>
          <w:sz w:val="27"/>
          <w:szCs w:val="27"/>
        </w:rPr>
        <w:t>.2017г.</w:t>
      </w:r>
      <w:r>
        <w:rPr>
          <w:rFonts w:ascii="Tahoma" w:hAnsi="Tahoma" w:cs="Tahoma"/>
          <w:color w:val="000000"/>
          <w:sz w:val="27"/>
          <w:szCs w:val="27"/>
        </w:rPr>
        <w:t> № ___________-па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 Об утверждении Генеральной схемы очистки территорий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bookmarkStart w:id="0" w:name="YANDEX_4"/>
      <w:bookmarkEnd w:id="0"/>
      <w:r>
        <w:rPr>
          <w:rFonts w:ascii="Tahoma" w:hAnsi="Tahoma" w:cs="Tahoma"/>
          <w:color w:val="000000"/>
          <w:sz w:val="12"/>
          <w:szCs w:val="12"/>
        </w:rPr>
        <w:t>населенных пунктов Вышнереутчанского сельсовета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bookmarkStart w:id="1" w:name="YANDEX_6"/>
      <w:bookmarkEnd w:id="1"/>
      <w:r>
        <w:rPr>
          <w:color w:val="000000"/>
          <w:sz w:val="27"/>
          <w:szCs w:val="27"/>
        </w:rPr>
        <w:t>В целях обеспечения экологического и санитарно-эпидемиологического благополучия населения на территории муниципального образования «Ниженский сельсовет», в соответствии со ст. 14 Федерального закона от 06.10.2003 г. № 131- ФЗ «Об общих принципах организации местного самоуправления в Российской Федерации», ст. 8, 13 Федерального закона от 24.06.1998 г. № 89- ФЗ «Об отходах производства и потребления», Федерального закона от 10.01.2002 г. № 7-ФЗ «Об охране окружающей среды», постановлением Государственного комитета Российской Федерации по строительству и жилищно-коммунальному комплексу от 21.08.2003 № 152 </w:t>
      </w:r>
      <w:r w:rsidRPr="00B62383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Об утверждении </w:t>
      </w:r>
      <w:r w:rsidRPr="00B62383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Методических рекомендаций о порядке разработки генеральных схем очистки территорий населенных пунктов Российской Федерации</w:t>
      </w:r>
      <w:r w:rsidRPr="00B62383">
        <w:rPr>
          <w:color w:val="000000"/>
          <w:sz w:val="27"/>
          <w:szCs w:val="27"/>
        </w:rPr>
        <w:t>»,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Устава муниципального образования «Вышнереутчанский сельсовет» Администрация Вышнереутчанского сельсовета Медвенского района ПОСТАНОВЛЯЕТ: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bookmarkStart w:id="2" w:name="YANDEX_7"/>
      <w:bookmarkStart w:id="3" w:name="YANDEX_8"/>
      <w:bookmarkStart w:id="4" w:name="YANDEX_9"/>
      <w:bookmarkStart w:id="5" w:name="YANDEX_10"/>
      <w:bookmarkEnd w:id="2"/>
      <w:bookmarkEnd w:id="3"/>
      <w:bookmarkEnd w:id="4"/>
      <w:bookmarkEnd w:id="5"/>
      <w:r>
        <w:rPr>
          <w:color w:val="000000"/>
          <w:sz w:val="27"/>
          <w:szCs w:val="27"/>
        </w:rPr>
        <w:t>1.Утвердить Генеральную схему очистки территории Вышнереутчанского сельсовета (Прилагается)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 Обнародовать настоящее постановление в установленном порядке и разместить на официальном сайте в сети «Интернет».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Глава Вышнереутчанского сельсовета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Медвенского района А.Г.Подтуркин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Постановлению Администрации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Вышнереутчанского сельсовета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____2017г. № _______-па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bookmarkStart w:id="6" w:name="YANDEX_13"/>
      <w:bookmarkStart w:id="7" w:name="YANDEX_14"/>
      <w:bookmarkStart w:id="8" w:name="YANDEX_15"/>
      <w:bookmarkStart w:id="9" w:name="YANDEX_16"/>
      <w:bookmarkStart w:id="10" w:name="YANDEX_17"/>
      <w:bookmarkEnd w:id="6"/>
      <w:bookmarkEnd w:id="7"/>
      <w:bookmarkEnd w:id="8"/>
      <w:bookmarkEnd w:id="9"/>
      <w:bookmarkEnd w:id="10"/>
      <w:r>
        <w:rPr>
          <w:rStyle w:val="ab"/>
          <w:rFonts w:ascii="Tahoma" w:hAnsi="Tahoma" w:cs="Tahoma"/>
          <w:color w:val="000000"/>
          <w:sz w:val="27"/>
          <w:szCs w:val="27"/>
        </w:rPr>
        <w:t>Генеральная схема очистки населенных пунктов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муниципального образования « Вышнереутчанский сельсовет»</w:t>
      </w:r>
    </w:p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Cs w:val="24"/>
        </w:rPr>
        <w:lastRenderedPageBreak/>
        <w:t>ОПРЕДЕЛЕНИЯ</w:t>
      </w:r>
    </w:p>
    <w:p w:rsidR="00B62383" w:rsidRDefault="00B62383" w:rsidP="00B62383">
      <w:pPr>
        <w:pStyle w:val="a8"/>
        <w:shd w:val="clear" w:color="auto" w:fill="EEEEEE"/>
        <w:spacing w:before="0" w:after="0"/>
        <w:ind w:left="28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 настоящей схеме применяют следующие термины с соответствующими определениями:</w:t>
      </w:r>
    </w:p>
    <w:tbl>
      <w:tblPr>
        <w:tblW w:w="6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85"/>
        <w:gridCol w:w="3805"/>
      </w:tblGrid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Бытовые отходы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Вид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Вторичные материальные ресурсы (вторсырье)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Захоронение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Использование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Коммунальные отходы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городской инфраструктуры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Несанкционированные свалки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Обезвреживание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62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обработка отходов,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</w:t>
            </w:r>
          </w:p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окружающую природную среду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Обращение с отходами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Отходы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Переработка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Полигон захоронения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Размещение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хранение и захоронение отходов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ind w:firstLine="34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Сбор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любая операция, являющаяся подготовительной к транспортировке или размещению отходов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Свалка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Свойства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Сортировка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Твердые и жидкие бытовые отходы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Хранение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содержание отходов в объектах размещения отходов в целях их последующего захоронения, обезвреживания или использования</w:t>
            </w:r>
          </w:p>
        </w:tc>
      </w:tr>
      <w:tr w:rsidR="00B62383" w:rsidTr="00B62383">
        <w:trPr>
          <w:tblCellSpacing w:w="0" w:type="dxa"/>
        </w:trPr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sz w:val="12"/>
                <w:szCs w:val="12"/>
              </w:rPr>
              <w:t>Утилизация отходов</w:t>
            </w:r>
          </w:p>
        </w:tc>
        <w:tc>
          <w:tcPr>
            <w:tcW w:w="5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</w:t>
            </w:r>
          </w:p>
        </w:tc>
      </w:tr>
    </w:tbl>
    <w:p w:rsidR="00B62383" w:rsidRDefault="00B62383" w:rsidP="00B62383">
      <w:pPr>
        <w:pStyle w:val="a8"/>
        <w:shd w:val="clear" w:color="auto" w:fill="EEEEEE"/>
        <w:spacing w:before="5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2"/>
          <w:szCs w:val="12"/>
        </w:rPr>
        <w:t>1.</w:t>
      </w:r>
      <w:r>
        <w:rPr>
          <w:rFonts w:ascii="Tahoma" w:hAnsi="Tahoma" w:cs="Tahoma"/>
          <w:color w:val="FF0000"/>
          <w:sz w:val="12"/>
          <w:szCs w:val="12"/>
        </w:rPr>
        <w:t> </w:t>
      </w:r>
      <w:r>
        <w:rPr>
          <w:rStyle w:val="ab"/>
          <w:rFonts w:ascii="Tahoma" w:hAnsi="Tahoma" w:cs="Tahoma"/>
          <w:color w:val="000000"/>
          <w:sz w:val="12"/>
          <w:szCs w:val="12"/>
        </w:rPr>
        <w:t>ОСНОВАНИЕ ДЛЯ РАЗРАБОТКИ ГЕНЕРАЛЬНОЙ СХЕМЫ ОЧИСТКИ ТЕРРИТОРИИ ВЫШНЕРЕУТЧАНСКОГО СЕЛЬСОВЕТА</w:t>
      </w:r>
    </w:p>
    <w:p w:rsidR="00B62383" w:rsidRDefault="00B62383" w:rsidP="00B62383">
      <w:pPr>
        <w:pStyle w:val="a8"/>
        <w:shd w:val="clear" w:color="auto" w:fill="FFFFFF"/>
        <w:spacing w:before="50" w:after="0"/>
        <w:ind w:left="567" w:firstLine="567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FFFFFF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Очистка и уборка территорий современных населенных пунктов должна развиваться на основе прогнозируемых решений. Генеральная схема является программным документом, который определяет направление развития данной сферы деятельности на территории Вышнереутчанского сельсовета, дает объективную оценку и возможность принятия руководителями органов местного самоуправления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</w:p>
    <w:p w:rsidR="00B62383" w:rsidRDefault="00B62383" w:rsidP="00B62383">
      <w:pPr>
        <w:pStyle w:val="a8"/>
        <w:shd w:val="clear" w:color="auto" w:fill="FFFFFF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B62383" w:rsidRDefault="00B62383" w:rsidP="00B62383">
      <w:pPr>
        <w:pStyle w:val="a8"/>
        <w:shd w:val="clear" w:color="auto" w:fill="FFFFFF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Генеральная схема является одним из инструментов реализации Федерального закона от 10.01.2002 г. № 7-ФЗ «Об охране окружающей среды», 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Генеральная схема разрабатывается в соответствии с Методическими рекомендациями о порядке разработки генеральных схем очистки территорий населенных пунктов Российской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обеспечения должного санитарного уровня населенных мест и более эффективного использования парка специальных машин, бытовые отходы следует удалять по единой централизованной системе.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Отходы, образующиеся при строительстве, ремонте, реконструкции жилых и общественных зданий, а также объектов культурно-бытового назначения, вывозят транспортом строительных организаций на специально выделенные участки. Неутилизируемые отходы промышленных предприятий вывозят транспортом этих предприятий на специальные полигоны или сооружения для их обезвреживания и захоронения.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2"/>
          <w:szCs w:val="12"/>
        </w:rPr>
        <w:t>2. КРАТКАЯ ХАРАКТЕРИСТИКА МУНИЦИПАЛЬНОГО ОБРАЗОВАНИЯ «ВЫШНЕРЕУТЧАНСКИЙ СЕЛЬСОВЕТ» МЕДВЕНСКОГО РАЙОНА КУРСКОЙ ОБЛАСТИ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2.1 Общие сведения о социально-экономическом положении муниципального образования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Муниципальное образование – Вышнереутчанский сельсовет расположен в северной части Медвенского района Курской области. Общая площадь Вышнереутчанского сельсовета Медвенского района составляет 80</w:t>
      </w:r>
      <w:r>
        <w:rPr>
          <w:rFonts w:ascii="Tahoma" w:hAnsi="Tahoma" w:cs="Tahoma"/>
          <w:color w:val="00B0F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кв. км</w:t>
      </w:r>
      <w:r>
        <w:rPr>
          <w:rFonts w:ascii="Tahoma" w:hAnsi="Tahoma" w:cs="Tahoma"/>
          <w:color w:val="00B0F0"/>
          <w:sz w:val="12"/>
          <w:szCs w:val="12"/>
        </w:rPr>
        <w:t>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Территория сельсовета определена границами, существующими на момент принятия Устава Вышнереутчанского сельсовета Медвенского района Курской области, в котором неотъемлемой частью и официальным документом, фиксирующим границы сельсовета, является схема и описание границ Вышнереутчанского сельсовета (Приложения №1 Устава).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Расстояние от административного центра сельсовета с. Верхний Реутец до районного центра (пгт Медвенка) – 12 км.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Ближайшая железнодорожная пассажирская станция находится в г. Обоянь.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 состав Вышнереутчанского сельсовета включено восемь населенных пунктов: с. Верхний Реутец, п. Реутчанский, х. Ивановка, х. Карташовка, х. Горки, х.Птица, х.Заегорьевкий, х. Замаленький. Административным центром является с. Верхний Реутец. Численность населения на начало 2017 г. составила 980 человек.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Анализ существующего административно-территориального устройства сельсовета показывает, что оно не противоречит требованиям ФЗ-131 «Об общих принципах организации местного самоуправления в Российской Федерации».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точки зрения внешних транспортных связей муниципальное образование имеет хорошее расположение.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85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Внешние транспортные связи Вышнереутчанского сельсовета осуществляются автомобильным транспортом.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85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Основной въезд на территорию с.Верхний Реутец осуществляется по автомобильной дороге межмуниципального значения "Крым"-Гахово”.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85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Муниципальное образование газифицировано на 90%. Основным видом деятельности населения является сельское хозяйство.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firstLine="85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2"/>
        <w:spacing w:before="0" w:beforeAutospacing="0" w:after="0" w:afterAutospacing="0" w:line="102" w:lineRule="atLeast"/>
        <w:ind w:left="1213"/>
        <w:rPr>
          <w:rFonts w:ascii="Tahoma" w:hAnsi="Tahoma" w:cs="Tahoma"/>
          <w:color w:val="000000"/>
        </w:rPr>
      </w:pPr>
      <w:r>
        <w:rPr>
          <w:rStyle w:val="ab"/>
          <w:rFonts w:ascii="Tahoma" w:hAnsi="Tahoma" w:cs="Tahoma"/>
          <w:b/>
          <w:bCs/>
          <w:color w:val="000000"/>
          <w:sz w:val="24"/>
          <w:szCs w:val="24"/>
        </w:rPr>
        <w:t>2.2. Административное устройство муниципального образов</w:t>
      </w:r>
      <w:r>
        <w:rPr>
          <w:rStyle w:val="ab"/>
          <w:rFonts w:ascii="Tahoma" w:hAnsi="Tahoma" w:cs="Tahoma"/>
          <w:b/>
          <w:bCs/>
          <w:color w:val="000000"/>
          <w:sz w:val="24"/>
          <w:szCs w:val="24"/>
        </w:rPr>
        <w:t>а</w:t>
      </w:r>
      <w:r>
        <w:rPr>
          <w:rStyle w:val="ab"/>
          <w:rFonts w:ascii="Tahoma" w:hAnsi="Tahoma" w:cs="Tahoma"/>
          <w:b/>
          <w:bCs/>
          <w:color w:val="000000"/>
          <w:sz w:val="24"/>
          <w:szCs w:val="24"/>
        </w:rPr>
        <w:t>ния. Границы муниципального образования.</w:t>
      </w:r>
    </w:p>
    <w:p w:rsidR="00B62383" w:rsidRDefault="00B62383" w:rsidP="00B62383">
      <w:pPr>
        <w:pStyle w:val="a8"/>
        <w:spacing w:before="50" w:after="0" w:line="102" w:lineRule="atLeast"/>
        <w:ind w:left="121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85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Статус, состав и границы Муниципального образования «Вышнереутчанский сельсовет» установлены Уставом муниципального образования, принятым собранием депутатов Вышнереутчанского сельсовета. Административным центром сельсовета является с. Верхний Реутец. В состав муниципального образования входит 11 населенных пунктов.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851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Общая площадь земель в границах муниципального образования «Вышнереутчанский сельсовет» составляет 80 кв. км. (7,4 % территории Медвенского района). Социально-экономическая активность сосредоточена в административном центре сельсовета.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2"/>
          <w:szCs w:val="12"/>
        </w:rPr>
        <w:t>Описание границ муниципального образования.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Муниципальное образование (МО) «Вышнереутчанский сельсовет» Медвенского района Курской области расположено в центральной части Курской области, в юго-западной части Медвенского района. С западной стороны граничит с Любачанским сельсоветом, с северной стороны с Высокским сельсоветом, с северо-восточной стороны с Нижнереутчанским сельсоветом, с южной стороны с Обоянским районом.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Уровень развития экономики муниципального образования «Вышнереутчанский сельсовет» относительно невысокий.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Данное муниципальное образование является дотационным субъектом бюджетных отношений в Курской области.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Основными производственными направлениями предприятий, функционирующих на территории муниципального образования, является производство сельскохозяйственной продукции.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2"/>
        <w:shd w:val="clear" w:color="auto" w:fill="EEEEEE"/>
        <w:spacing w:before="0" w:beforeAutospacing="0" w:after="0" w:afterAutospacing="0" w:line="102" w:lineRule="atLeast"/>
        <w:ind w:left="709"/>
        <w:rPr>
          <w:rFonts w:ascii="Tahoma" w:hAnsi="Tahoma" w:cs="Tahoma"/>
          <w:color w:val="000000"/>
        </w:rPr>
      </w:pPr>
      <w:r>
        <w:rPr>
          <w:rStyle w:val="ab"/>
          <w:rFonts w:ascii="Tahoma" w:hAnsi="Tahoma" w:cs="Tahoma"/>
          <w:b/>
          <w:bCs/>
          <w:color w:val="00000A"/>
          <w:sz w:val="24"/>
          <w:szCs w:val="24"/>
        </w:rPr>
        <w:t>2.3. Население.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Вышнереутчанский сельсовет на фоне демографической ситуации, сложившейся в сельской местности Медвенского района, характеризуется малым приростом численности населения, что иллюстрирует направленность внутрирегиональных и внутрирайонных миграционных потоков «село» - «город».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Основными характеристиками современной демографической ситуации в сельсовете являются следующие:</w:t>
      </w:r>
    </w:p>
    <w:p w:rsidR="00B62383" w:rsidRDefault="00B62383" w:rsidP="00B62383">
      <w:pPr>
        <w:pStyle w:val="a8"/>
        <w:numPr>
          <w:ilvl w:val="0"/>
          <w:numId w:val="28"/>
        </w:numPr>
        <w:shd w:val="clear" w:color="auto" w:fill="EEEEEE"/>
        <w:suppressAutoHyphens w:val="0"/>
        <w:autoSpaceDN/>
        <w:spacing w:before="0" w:after="0" w:line="102" w:lineRule="atLeast"/>
        <w:ind w:left="0" w:firstLine="20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:rsidR="00B62383" w:rsidRDefault="00B62383" w:rsidP="00B62383">
      <w:pPr>
        <w:pStyle w:val="a8"/>
        <w:numPr>
          <w:ilvl w:val="0"/>
          <w:numId w:val="28"/>
        </w:numPr>
        <w:shd w:val="clear" w:color="auto" w:fill="EEEEEE"/>
        <w:suppressAutoHyphens w:val="0"/>
        <w:autoSpaceDN/>
        <w:spacing w:before="0" w:after="0" w:line="102" w:lineRule="atLeast"/>
        <w:ind w:left="0" w:firstLine="20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го развития;</w:t>
      </w:r>
    </w:p>
    <w:p w:rsidR="00B62383" w:rsidRDefault="00B62383" w:rsidP="00B62383">
      <w:pPr>
        <w:pStyle w:val="a8"/>
        <w:numPr>
          <w:ilvl w:val="0"/>
          <w:numId w:val="28"/>
        </w:numPr>
        <w:shd w:val="clear" w:color="auto" w:fill="EEEEEE"/>
        <w:suppressAutoHyphens w:val="0"/>
        <w:autoSpaceDN/>
        <w:spacing w:before="0" w:after="0" w:line="102" w:lineRule="atLeast"/>
        <w:ind w:left="0" w:firstLine="20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низкий уровень рождаемости, недостаточный для простого замещения родителей их детьми;</w:t>
      </w:r>
    </w:p>
    <w:p w:rsidR="00B62383" w:rsidRDefault="00B62383" w:rsidP="00B62383">
      <w:pPr>
        <w:pStyle w:val="a8"/>
        <w:numPr>
          <w:ilvl w:val="0"/>
          <w:numId w:val="28"/>
        </w:numPr>
        <w:shd w:val="clear" w:color="auto" w:fill="EEEEEE"/>
        <w:suppressAutoHyphens w:val="0"/>
        <w:autoSpaceDN/>
        <w:spacing w:before="0" w:after="0" w:line="102" w:lineRule="atLeast"/>
        <w:ind w:left="0" w:firstLine="20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высокий уровень смертности населения, особенно в трудоспособном возрасте;</w:t>
      </w:r>
    </w:p>
    <w:p w:rsidR="00B62383" w:rsidRDefault="00B62383" w:rsidP="00B62383">
      <w:pPr>
        <w:pStyle w:val="a8"/>
        <w:numPr>
          <w:ilvl w:val="0"/>
          <w:numId w:val="28"/>
        </w:numPr>
        <w:shd w:val="clear" w:color="auto" w:fill="EEEEEE"/>
        <w:suppressAutoHyphens w:val="0"/>
        <w:autoSpaceDN/>
        <w:spacing w:before="0" w:after="0" w:line="102" w:lineRule="atLeast"/>
        <w:ind w:left="0" w:firstLine="20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низкие показатели продолжительности жизни населения;</w:t>
      </w:r>
    </w:p>
    <w:p w:rsidR="00B62383" w:rsidRDefault="00B62383" w:rsidP="00B62383">
      <w:pPr>
        <w:pStyle w:val="a8"/>
        <w:numPr>
          <w:ilvl w:val="0"/>
          <w:numId w:val="28"/>
        </w:numPr>
        <w:shd w:val="clear" w:color="auto" w:fill="EEEEEE"/>
        <w:suppressAutoHyphens w:val="0"/>
        <w:autoSpaceDN/>
        <w:spacing w:before="0" w:after="0" w:line="102" w:lineRule="atLeast"/>
        <w:ind w:left="0" w:firstLine="20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A"/>
        </w:rPr>
        <w:t>приток мигрантов, частично компенсирующий естественную убыль насел</w:t>
      </w:r>
      <w:r>
        <w:rPr>
          <w:rFonts w:ascii="Tahoma" w:hAnsi="Tahoma" w:cs="Tahoma"/>
          <w:color w:val="00000A"/>
        </w:rPr>
        <w:t>е</w:t>
      </w:r>
      <w:r>
        <w:rPr>
          <w:rFonts w:ascii="Tahoma" w:hAnsi="Tahoma" w:cs="Tahoma"/>
          <w:color w:val="00000A"/>
        </w:rPr>
        <w:t>ния.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Вышнереутчанского сельсовета.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Таблица № 1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Таблица. Сведения о населении муниципального образования (по населенным пунктам) на начало 2017г.</w:t>
      </w:r>
    </w:p>
    <w:tbl>
      <w:tblPr>
        <w:tblW w:w="64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7"/>
        <w:gridCol w:w="1512"/>
        <w:gridCol w:w="838"/>
        <w:gridCol w:w="1635"/>
        <w:gridCol w:w="778"/>
        <w:gridCol w:w="1310"/>
      </w:tblGrid>
      <w:tr w:rsidR="00B62383" w:rsidTr="00B62383">
        <w:trPr>
          <w:tblCellSpacing w:w="0" w:type="dxa"/>
        </w:trPr>
        <w:tc>
          <w:tcPr>
            <w:tcW w:w="3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№</w:t>
            </w:r>
          </w:p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Удаленность (км.)</w:t>
            </w:r>
          </w:p>
        </w:tc>
        <w:tc>
          <w:tcPr>
            <w:tcW w:w="9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Число</w:t>
            </w:r>
          </w:p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дворов (домов)</w:t>
            </w:r>
          </w:p>
        </w:tc>
        <w:tc>
          <w:tcPr>
            <w:tcW w:w="15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Общая</w:t>
            </w:r>
          </w:p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численность, чел.</w:t>
            </w:r>
          </w:p>
        </w:tc>
      </w:tr>
      <w:tr w:rsidR="00B62383" w:rsidTr="00B623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-79" w:right="-15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от районного центра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-62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</w:tr>
      <w:tr w:rsidR="00B62383" w:rsidTr="00B62383">
        <w:trPr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с. Верхний Реутец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</w:tr>
      <w:tr w:rsidR="00B62383" w:rsidTr="00B62383">
        <w:trPr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п. Реутчанский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</w:tr>
      <w:tr w:rsidR="00B62383" w:rsidTr="00B62383">
        <w:trPr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Ивановка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B62383" w:rsidTr="00B62383">
        <w:trPr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Карташовка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B62383" w:rsidTr="00B62383">
        <w:trPr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Горки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62383" w:rsidTr="00B62383">
        <w:trPr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Птина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2383" w:rsidTr="00B62383">
        <w:trPr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Заегорьевский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2383" w:rsidTr="00B62383">
        <w:trPr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Замаленький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62383" w:rsidTr="00B62383">
        <w:trPr>
          <w:tblCellSpacing w:w="0" w:type="dxa"/>
        </w:trPr>
        <w:tc>
          <w:tcPr>
            <w:tcW w:w="65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</w:tr>
    </w:tbl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Таблица № 2</w:t>
      </w:r>
    </w:p>
    <w:p w:rsidR="00B62383" w:rsidRDefault="00B62383" w:rsidP="00B62383">
      <w:pPr>
        <w:pStyle w:val="a8"/>
        <w:shd w:val="clear" w:color="auto" w:fill="EEEEEE"/>
        <w:spacing w:before="0" w:after="0" w:line="18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Таблица. Сведения о населении муниципального образования (по населенным пунктам) на 2017г.</w:t>
      </w:r>
    </w:p>
    <w:tbl>
      <w:tblPr>
        <w:tblW w:w="6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1394"/>
        <w:gridCol w:w="719"/>
        <w:gridCol w:w="1142"/>
        <w:gridCol w:w="1190"/>
        <w:gridCol w:w="543"/>
        <w:gridCol w:w="1354"/>
      </w:tblGrid>
      <w:tr w:rsidR="00B62383" w:rsidTr="00B62383">
        <w:trPr>
          <w:trHeight w:val="420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№</w:t>
            </w:r>
          </w:p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9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Численность по населенным пунктам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9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9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42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Дети от 0 до 18 лет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9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Пенсионеры</w:t>
            </w:r>
          </w:p>
        </w:tc>
      </w:tr>
      <w:tr w:rsidR="00B62383" w:rsidTr="00B62383">
        <w:trPr>
          <w:trHeight w:val="240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с. Верхний Реутец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</w:tr>
      <w:tr w:rsidR="00B62383" w:rsidTr="00B62383">
        <w:trPr>
          <w:trHeight w:val="255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п. Реутчанский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B62383" w:rsidTr="00B62383">
        <w:trPr>
          <w:trHeight w:val="240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Ивановка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62383" w:rsidTr="00B62383">
        <w:trPr>
          <w:trHeight w:val="240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Карташовка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62383" w:rsidTr="00B62383">
        <w:trPr>
          <w:trHeight w:val="240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Горки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62383" w:rsidTr="00B62383">
        <w:trPr>
          <w:trHeight w:val="240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Птина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62383" w:rsidTr="00B62383">
        <w:trPr>
          <w:trHeight w:val="240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Заегорьевский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62383" w:rsidTr="00B62383">
        <w:trPr>
          <w:trHeight w:val="240"/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х. Замаленький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62383" w:rsidTr="00B62383">
        <w:trPr>
          <w:trHeight w:val="240"/>
          <w:tblCellSpacing w:w="0" w:type="dxa"/>
        </w:trPr>
        <w:tc>
          <w:tcPr>
            <w:tcW w:w="29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9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</w:tr>
    </w:tbl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Таблица № 3</w:t>
      </w:r>
    </w:p>
    <w:p w:rsidR="00B62383" w:rsidRDefault="00B62383" w:rsidP="00B62383">
      <w:pPr>
        <w:pStyle w:val="a8"/>
        <w:shd w:val="clear" w:color="auto" w:fill="EEEEEE"/>
        <w:spacing w:before="50" w:after="0" w:line="238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238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Таблица. Общие сведения о семьях, проживающих на территории Медвенского района Курской области по состоянию на 01.01.2017г.</w:t>
      </w:r>
    </w:p>
    <w:tbl>
      <w:tblPr>
        <w:tblW w:w="65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68"/>
        <w:gridCol w:w="1209"/>
        <w:gridCol w:w="719"/>
        <w:gridCol w:w="693"/>
        <w:gridCol w:w="936"/>
        <w:gridCol w:w="924"/>
        <w:gridCol w:w="702"/>
        <w:gridCol w:w="754"/>
        <w:gridCol w:w="881"/>
        <w:gridCol w:w="1568"/>
      </w:tblGrid>
      <w:tr w:rsidR="00B62383" w:rsidTr="00B62383">
        <w:trPr>
          <w:tblCellSpacing w:w="0" w:type="dxa"/>
        </w:trPr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Наименование МО</w:t>
            </w:r>
          </w:p>
        </w:tc>
        <w:tc>
          <w:tcPr>
            <w:tcW w:w="6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Общее число семей</w:t>
            </w:r>
          </w:p>
        </w:tc>
        <w:tc>
          <w:tcPr>
            <w:tcW w:w="8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Семей, имеющих детей от 0 до 18 лет</w:t>
            </w:r>
          </w:p>
        </w:tc>
        <w:tc>
          <w:tcPr>
            <w:tcW w:w="12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Количество детей в различных категориях семей от 0 до 18</w:t>
            </w:r>
          </w:p>
        </w:tc>
        <w:tc>
          <w:tcPr>
            <w:tcW w:w="52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из них семей</w:t>
            </w:r>
          </w:p>
        </w:tc>
      </w:tr>
      <w:tr w:rsidR="00B62383" w:rsidTr="00B623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Мало</w:t>
            </w:r>
          </w:p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обеспеченных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Многодетных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Молодых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Неполных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Воспитываю</w:t>
            </w:r>
          </w:p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щих детей- инвалидов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Беженцев и вынужденных</w:t>
            </w:r>
          </w:p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переселенцев</w:t>
            </w:r>
          </w:p>
        </w:tc>
      </w:tr>
      <w:tr w:rsidR="00B62383" w:rsidTr="00B62383">
        <w:trPr>
          <w:trHeight w:val="885"/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Вышнереутчанский сельсовет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62383" w:rsidTr="00B62383">
        <w:trPr>
          <w:trHeight w:val="225"/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02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ind w:left="36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B62383" w:rsidRDefault="00B62383" w:rsidP="00B62383">
      <w:pPr>
        <w:pStyle w:val="a8"/>
        <w:shd w:val="clear" w:color="auto" w:fill="EEEEEE"/>
        <w:spacing w:before="50" w:after="0" w:line="18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Таблица № 4</w:t>
      </w:r>
    </w:p>
    <w:tbl>
      <w:tblPr>
        <w:tblW w:w="65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482"/>
        <w:gridCol w:w="482"/>
        <w:gridCol w:w="482"/>
        <w:gridCol w:w="646"/>
        <w:gridCol w:w="646"/>
        <w:gridCol w:w="482"/>
        <w:gridCol w:w="646"/>
        <w:gridCol w:w="646"/>
        <w:gridCol w:w="646"/>
        <w:gridCol w:w="646"/>
        <w:gridCol w:w="386"/>
        <w:gridCol w:w="130"/>
        <w:gridCol w:w="130"/>
      </w:tblGrid>
      <w:tr w:rsidR="00B62383" w:rsidTr="00B62383">
        <w:trPr>
          <w:tblCellSpacing w:w="0" w:type="dxa"/>
        </w:trPr>
        <w:tc>
          <w:tcPr>
            <w:tcW w:w="9435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Прогноз численности постоянного населения (среднегодовая) (чел.):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62383" w:rsidTr="00B62383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2013 год отчет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2014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2015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2016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2017 год прогноз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2018 год прогноз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2019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2020 год прогноз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2021 год прогноз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2022 год прогноз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2023 год прогноз</w:t>
            </w:r>
          </w:p>
        </w:tc>
        <w:tc>
          <w:tcPr>
            <w:tcW w:w="12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2024 год прогноз</w:t>
            </w:r>
          </w:p>
        </w:tc>
      </w:tr>
      <w:tr w:rsidR="00B62383" w:rsidTr="00B62383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2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</w:tr>
      <w:tr w:rsidR="00B62383" w:rsidTr="00B62383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1160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1164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1052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980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990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990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980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980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950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840</w:t>
            </w:r>
          </w:p>
        </w:tc>
        <w:tc>
          <w:tcPr>
            <w:tcW w:w="12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850</w:t>
            </w:r>
          </w:p>
        </w:tc>
      </w:tr>
    </w:tbl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Таблица № 5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5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482"/>
        <w:gridCol w:w="482"/>
        <w:gridCol w:w="482"/>
        <w:gridCol w:w="646"/>
        <w:gridCol w:w="646"/>
        <w:gridCol w:w="482"/>
        <w:gridCol w:w="646"/>
        <w:gridCol w:w="646"/>
        <w:gridCol w:w="646"/>
        <w:gridCol w:w="646"/>
        <w:gridCol w:w="386"/>
        <w:gridCol w:w="130"/>
        <w:gridCol w:w="130"/>
      </w:tblGrid>
      <w:tr w:rsidR="00B62383" w:rsidTr="00B62383">
        <w:trPr>
          <w:tblCellSpacing w:w="0" w:type="dxa"/>
        </w:trPr>
        <w:tc>
          <w:tcPr>
            <w:tcW w:w="9495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Прогноз Рождаемости (чел.):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62383" w:rsidTr="00B62383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2013 год отчет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2014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2015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2016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2017 год прогноз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2018 год прогноз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2019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2020 год прогноз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2021 год прогноз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2022 год прогноз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2023 год прогноз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2024 год прогноз</w:t>
            </w:r>
          </w:p>
        </w:tc>
      </w:tr>
      <w:tr w:rsidR="00B62383" w:rsidTr="00B62383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</w:tr>
      <w:tr w:rsidR="00B62383" w:rsidTr="00B62383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13</w:t>
            </w:r>
          </w:p>
        </w:tc>
      </w:tr>
    </w:tbl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Таблица № 6</w:t>
      </w:r>
    </w:p>
    <w:tbl>
      <w:tblPr>
        <w:tblW w:w="65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482"/>
        <w:gridCol w:w="482"/>
        <w:gridCol w:w="482"/>
        <w:gridCol w:w="646"/>
        <w:gridCol w:w="646"/>
        <w:gridCol w:w="482"/>
        <w:gridCol w:w="646"/>
        <w:gridCol w:w="646"/>
        <w:gridCol w:w="646"/>
        <w:gridCol w:w="646"/>
        <w:gridCol w:w="386"/>
        <w:gridCol w:w="130"/>
        <w:gridCol w:w="130"/>
      </w:tblGrid>
      <w:tr w:rsidR="00B62383" w:rsidTr="00B62383">
        <w:trPr>
          <w:tblCellSpacing w:w="0" w:type="dxa"/>
        </w:trPr>
        <w:tc>
          <w:tcPr>
            <w:tcW w:w="9495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Прогноз Смертности (чел.):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B62383" w:rsidTr="00B62383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2013 год отчет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2014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2015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2016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2017 год прогноз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2018 год прогноз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2019 год отчет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2020 год прогноз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2021 год прогноз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2022 год прогноз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2023 год прогноз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2024 год прогноз</w:t>
            </w:r>
          </w:p>
        </w:tc>
      </w:tr>
      <w:tr w:rsidR="00B62383" w:rsidTr="00B62383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12</w:t>
            </w:r>
          </w:p>
        </w:tc>
      </w:tr>
      <w:tr w:rsidR="00B62383" w:rsidTr="00B62383">
        <w:trPr>
          <w:tblCellSpacing w:w="0" w:type="dxa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CC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20</w:t>
            </w:r>
          </w:p>
        </w:tc>
      </w:tr>
    </w:tbl>
    <w:p w:rsidR="00B62383" w:rsidRDefault="00B62383" w:rsidP="00B62383">
      <w:pPr>
        <w:pStyle w:val="a8"/>
        <w:shd w:val="clear" w:color="auto" w:fill="EEEEEE"/>
        <w:spacing w:before="50" w:after="0" w:line="18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2.4 Характеристика обеспечения коммунальными услугами жилищного фонда и объектов социальной сферы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По состоянию на 01.01.2017 г., на территории Вышнереутчанского сельсовета расположено 483жилых дома, 3 из которых, являются многоквартирными по 16 квартир (дома в 2 этажа) и 2 МКД (дом в 2 этажа) с 8 квартирами, 3 дома – по 4 квартиры, 47 домов по 2 квартиры. В жилой застройке населенных пунктов в основном преобладают одноэтажные здания, материал построек - кирпич и пиломатериалы. Улицы имеют одностороннюю и двустороннюю застройку.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Большинство жилых помещений в муниципальном образовании «Вышнереутчанский сельсовет» имеют износ от 35 до 60%.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Централизованным водоснабжением обеспечены все населённые пункты сельсовета кроме </w:t>
      </w:r>
      <w:r>
        <w:rPr>
          <w:rFonts w:ascii="Tahoma" w:hAnsi="Tahoma" w:cs="Tahoma"/>
          <w:color w:val="000000"/>
        </w:rPr>
        <w:t>х.Птица, х.Заегорьевкий, х. Замаленький, х Степь, где нет населения. </w:t>
      </w:r>
      <w:r>
        <w:rPr>
          <w:rFonts w:ascii="Tahoma" w:hAnsi="Tahoma" w:cs="Tahoma"/>
          <w:color w:val="000000"/>
          <w:sz w:val="12"/>
          <w:szCs w:val="12"/>
        </w:rPr>
        <w:t>Обеспечение водой предусмотрено от существующих водонапорных скважин. Система хозяйственного питьевого водоснабжения кольцевая.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Средний уровень благоустройства многоквартирного жилищного фонда по обеспеченности электроэнергией составляет 100%, водопроводом – 100 %, сетевым газоснабжением – 100 %, 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Общая площадь жилых помещений в Вышнереутчанском сельсовете на 01.01.2017 г. составляла 31400 м</w:t>
      </w:r>
      <w:r>
        <w:rPr>
          <w:rFonts w:ascii="Tahoma" w:hAnsi="Tahoma" w:cs="Tahoma"/>
          <w:color w:val="000000"/>
          <w:vertAlign w:val="superscript"/>
        </w:rPr>
        <w:t>2</w:t>
      </w:r>
      <w:r>
        <w:rPr>
          <w:rFonts w:ascii="Tahoma" w:hAnsi="Tahoma" w:cs="Tahoma"/>
          <w:color w:val="000000"/>
        </w:rPr>
        <w:t>. Средняя обеспеченность жилищным фондом на одного жителя равна 31 м</w:t>
      </w:r>
      <w:r>
        <w:rPr>
          <w:rFonts w:ascii="Tahoma" w:hAnsi="Tahoma" w:cs="Tahoma"/>
          <w:color w:val="000000"/>
          <w:vertAlign w:val="superscript"/>
        </w:rPr>
        <w:t>2</w:t>
      </w:r>
      <w:r>
        <w:rPr>
          <w:rFonts w:ascii="Tahoma" w:hAnsi="Tahoma" w:cs="Tahoma"/>
          <w:color w:val="000000"/>
        </w:rPr>
        <w:t>.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3 Современное состояние системы санитарной очистки и уборки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3.1. Основными задачами санитарной очистки и уборки в сельском поселение являются: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- сбор, транспортировка и утилизация твердых бытовых отходов;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- уборка территории от уличного мусора, листьев, снега и льда, с обеспечением нормального передвижения населения и транспорта.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Ответственность за организацию санитарной очистки в сельском поселении возложена на Администрацию Вышнереутчанского сельсовета Медвенского района.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Администрация Вышнереутчанского сельсовета Медвенского района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- проводит с гражданами, организационную и разъяснительную работу по организации сбора твердых и бытовых отходов;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- определяет места для размещения контейнерных площадок;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- содействует установки контейнеров в жилом секторе и ведет их учет;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lastRenderedPageBreak/>
        <w:t>- организует и проводит собрания граждан по месту проживания, в целях определения ответственных лиц за содержание и сохранность контейнеров.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Централизованный сбор, вывоз и утилизация бытовых отходов организован только в центре с Верхний Реутец. В остальных населенных пунктах – не организован.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4</w:t>
      </w:r>
      <w:r>
        <w:rPr>
          <w:rStyle w:val="ab"/>
          <w:color w:val="000000"/>
          <w:lang w:val="en-US"/>
        </w:rPr>
        <w:t> </w:t>
      </w:r>
      <w:r>
        <w:rPr>
          <w:rStyle w:val="ab"/>
          <w:color w:val="000000"/>
        </w:rPr>
        <w:t>Порядок организации уборки территории Вышнереутчанского сельсовета Медвенского района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Уборочные работы производятся в соответствии с требованиями Правил благоустройства и санитарного содержания территорииВышнереутчанского сельсовета Медвенского района, инструкциями и технологическими рекомендациями.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СанПиН 42-128-4690-88 "Санитарные правила содержания территорий населенных мест", с действующим законодательством, порядком сбора, вывоза и утилизации отходов производства и потребления, утверждаемых органами местного самоуправления.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4.1. </w:t>
      </w:r>
      <w:r>
        <w:rPr>
          <w:color w:val="000000"/>
        </w:rPr>
        <w:t>Требования к уборке территорий в летний период.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Период летней уборки территории поселения устанавливается с 15 апреля по 15 октября. В зависимости от погодных условий указанный период может быть сокращен или продлен по решению Администрации поселения.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С наступлением весенне-летнего периода всем собственникам, владельцам, арендаторам земельных участков необходимо по окончании зимнего периода обеспечить на собственной и прилегающей территориях, проезжей части улиц и дорог, тротуарах, газонах, территориях парков, скверов, садов и прочих территориях уборку и вывоз мусора (отходов), смета и накопившейся за зимний период грязи на полигон ТБО.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Летняя уборка территорий включает в себя: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Качественную и своевременную уборку в летний период времени уличных и дворовых территорий поселения и содержание их в чистоте и порядке;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Систематическую очистку территорий от отходов и мусора и вывоз их на полигон ТБО;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Подметание дворовых территорий по мере необходимости. В летний период уборка придомовых территорий, дворовых территорий должна производиться при соблюдении санитарных норм.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Своевременное скашивание травы на озелененных территориях, не допуская достижения травой десятисантиметровой высоты;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Содержание в чистоте и опрятном состоянии фасадов зданий и их элементов. Мойка витрин производится по мере загрязнения, но не реже одного раза в месяц.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Установку необходимого количества урн для мусора, содержание их в чистоте и исправном состоянии обеспечивают: должностные лица организаций всех форм собственности, а также собственники, владельцы, пользователи, арендаторы земельных участков, объектов недвижимости - у входов в здания (помещения), на собственной и прилегающей территориях; организации торговли, общественного питания, бытового обслуживания и сферы услуг - у входов в здания, помещения (в том числе в магазины, торговые центры) Администрация поселения - в местах отдыха граждан на территории общего пользования.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При производстве летней уборки территорий запрещаются: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Сброс смета, мусора, травы, листьев, веток, порубочных остатков и иных отходов на озелененные территории, в смотровые колодцы, реки, расположенные на территории поселения, а также на проезжую часть улиц, дорог и тротуары при скашивании и уборке газонов;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Вывоз и сброс смета и мусора (отходов) в несанкционированные места;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Сгребание листвы к комлевой части деревьев и кустарников;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lastRenderedPageBreak/>
        <w:t>- </w:t>
      </w:r>
      <w:r>
        <w:rPr>
          <w:color w:val="000000"/>
        </w:rPr>
        <w:t>Сжигание и закапывание мусора, листвы, тары, производственных, строительных и других отходов на территории поселения, не отведенной для этих целей</w:t>
      </w:r>
      <w:r>
        <w:rPr>
          <w:color w:val="0000FF"/>
        </w:rPr>
        <w:t>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4.2. </w:t>
      </w:r>
      <w:r>
        <w:rPr>
          <w:color w:val="000000"/>
        </w:rPr>
        <w:t>Требования к уборке территорий в зимний период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Период зимней уборки территории сельского поселения устанавливается с 15 октября по 15 апреля. В зависимости от погодных условий указанный период может быть сокращен или продлен по решению Администрации поселения.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С наступлением осенне-зимнего периода всем собственникам, владельцам, арендаторам земельных участков необходимо производить: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Обработку проезжей части улиц, пешеходных территорий противогололедными материалами (песком, песчано-соляной смесью). При угрозе повсеместного гололеда обработка (посыпка) территорий осуществляется до начала выпадения осадков. В первую очередь обрабатываются наиболее опасные участки дорог, перекрестки, подходы к остановкам общественного транспорта и т.п.;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Механизированную уборку снега при толщине снежной массы на дорожном полотне более трех сантиметров. В периоды снегопадов или гололедицы на проезжей части улиц должно быть обеспечено беспрепятственное движение транспорта с разрешенной скоростью.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Формирование снежных валов с соответствующими промежутками между ними. Местом временного складирования снега, счищаемого с проезжей части и тротуаров, является прилотковая часть дороги;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Очистку крыш, карнизов жилых домов и зданий от снега и ледяных наростов, удаление наледей и сосулек. Указанные работы производятся только в светлое время суток. При производстве работ следует применять меры, обеспечивающие безопасность пешеходов (установка ограждения или наличие дежурных) и сохранность деревьев, кустарников, линий электропередач, линий связи и т.д.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Зимняя уборка территорий, предусматривающая работы, связанные с ликвидацией скользкости, удалением снега и снежно-ледяных образований, не снимает с хозяйствующих субъектов обязанности производить уборку территорий от мусора и иного загрязнения.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При производстве зимней уборки запрещаются: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Складирование (сброс) снега, льда (снежно-ледяных образований) на тротуарах, контейнерных площадках, в канализационные колодцы, на трассах тепловых сетей;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Сдвигание снега к стенам зданий, строений и сооружений;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Сдвигание снега на проезжую часть улиц и дорог и другие территории с территорий организаций, предприятий и других мест;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- </w:t>
      </w:r>
      <w:r>
        <w:rPr>
          <w:color w:val="000000"/>
        </w:rPr>
        <w:t>Вынос снега на тротуары и проезжую часть улиц и дорог с внутриквартальных, дворовых и других территорий.</w:t>
      </w:r>
    </w:p>
    <w:p w:rsidR="00B62383" w:rsidRDefault="00B62383" w:rsidP="00B62383">
      <w:pPr>
        <w:pStyle w:val="a8"/>
        <w:shd w:val="clear" w:color="auto" w:fill="EEEEEE"/>
        <w:spacing w:before="5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5 Перспективы развития системы санитарной очистки муниципального образования «Вышнереутчанский сельсовет» Медвенского района Курской области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Нормативное накопление отходов на душу населения в муниципальном образовании составит в год объемом 2000 л. Исходя из этого, годовой объем ТБО на расчетный срок составит 1910 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B62383" w:rsidRDefault="00B62383" w:rsidP="00B62383">
      <w:pPr>
        <w:pStyle w:val="a8"/>
        <w:shd w:val="clear" w:color="auto" w:fill="EEEEEE"/>
        <w:spacing w:before="0" w:after="0" w:line="18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Таблица. Объемы накопления бытовых отходов.</w:t>
      </w:r>
    </w:p>
    <w:tbl>
      <w:tblPr>
        <w:tblW w:w="99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72"/>
        <w:gridCol w:w="210"/>
        <w:gridCol w:w="974"/>
        <w:gridCol w:w="1541"/>
        <w:gridCol w:w="1211"/>
        <w:gridCol w:w="1516"/>
        <w:gridCol w:w="1142"/>
        <w:gridCol w:w="1444"/>
      </w:tblGrid>
      <w:tr w:rsidR="00B62383" w:rsidTr="00B62383">
        <w:trPr>
          <w:tblCellSpacing w:w="0" w:type="dxa"/>
        </w:trPr>
        <w:tc>
          <w:tcPr>
            <w:tcW w:w="33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Бытовые отходы</w:t>
            </w:r>
          </w:p>
        </w:tc>
        <w:tc>
          <w:tcPr>
            <w:tcW w:w="3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Число жителей, чел.</w:t>
            </w:r>
          </w:p>
        </w:tc>
        <w:tc>
          <w:tcPr>
            <w:tcW w:w="30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Удельная норма накопления на 1 человека в год</w:t>
            </w:r>
          </w:p>
        </w:tc>
        <w:tc>
          <w:tcPr>
            <w:tcW w:w="4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Общее накопление в год</w:t>
            </w:r>
          </w:p>
        </w:tc>
      </w:tr>
      <w:tr w:rsidR="00B62383" w:rsidTr="00B623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5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л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I очередь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расчётный срок</w:t>
            </w:r>
          </w:p>
        </w:tc>
      </w:tr>
      <w:tr w:rsidR="00B62383" w:rsidTr="00B623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I очередь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расчётный срок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I очередь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расчётный срок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м</w:t>
            </w:r>
            <w:r>
              <w:rPr>
                <w:rStyle w:val="ab"/>
                <w:color w:val="000000"/>
                <w:vertAlign w:val="superscript"/>
              </w:rPr>
              <w:t>3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м</w:t>
            </w:r>
            <w:r>
              <w:rPr>
                <w:rStyle w:val="ab"/>
                <w:color w:val="000000"/>
                <w:vertAlign w:val="superscript"/>
              </w:rPr>
              <w:t>3</w:t>
            </w:r>
          </w:p>
        </w:tc>
      </w:tr>
      <w:tr w:rsidR="00B62383" w:rsidTr="00B62383">
        <w:trPr>
          <w:trHeight w:val="300"/>
          <w:tblCellSpacing w:w="0" w:type="dxa"/>
        </w:trPr>
        <w:tc>
          <w:tcPr>
            <w:tcW w:w="3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 xml:space="preserve">Общее количество по сельсовета с учетом </w:t>
            </w:r>
            <w:r>
              <w:rPr>
                <w:color w:val="000000"/>
              </w:rPr>
              <w:lastRenderedPageBreak/>
              <w:t>общественных зданий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lastRenderedPageBreak/>
              <w:t>985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1970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1910</w:t>
            </w:r>
          </w:p>
        </w:tc>
      </w:tr>
      <w:tr w:rsidR="00B62383" w:rsidTr="00B62383">
        <w:trPr>
          <w:trHeight w:val="30"/>
          <w:tblCellSpacing w:w="0" w:type="dxa"/>
        </w:trPr>
        <w:tc>
          <w:tcPr>
            <w:tcW w:w="3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 w:line="30" w:lineRule="atLeast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 w:line="30" w:lineRule="atLeast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 w:line="30" w:lineRule="atLeast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 w:line="30" w:lineRule="atLeast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 w:line="30" w:lineRule="atLeast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 w:line="30" w:lineRule="atLeast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1970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62383" w:rsidRDefault="00B62383">
            <w:pPr>
              <w:pStyle w:val="a8"/>
              <w:spacing w:before="0" w:after="0" w:line="30" w:lineRule="atLeast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</w:rPr>
              <w:t>191</w:t>
            </w:r>
          </w:p>
        </w:tc>
      </w:tr>
    </w:tbl>
    <w:p w:rsidR="00B62383" w:rsidRDefault="00B62383" w:rsidP="00B62383">
      <w:pPr>
        <w:pStyle w:val="a8"/>
        <w:shd w:val="clear" w:color="auto" w:fill="EEEEEE"/>
        <w:spacing w:before="50" w:after="0" w:line="18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При санитарной очистке населенных пунктов поселения необходимо выполнять следующие мероприятия: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а) очистку жилых домов, общественных зданий и прилегающих к ним территорий производить коммунальным транспортом регулярно и в кратчайшие сроки;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б) максимально механизировать все процессы очистки, поливки, полностью исключить ручные работы с отходами;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в) обеспечить герметичность емкостей для вывозки отходов;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г) обезвреживание отходов производить в местах, установленных для этой цели;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д) отвозить жидкие отходы на сливную станцию очистных сооружений;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е) обезвреживание и захоронение трупов животных производить в отведенном для этой цели месте (скотомогильнике).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Сброс твердых бытовых отходов предусматривается в металлические контейнеры объемом 1 м</w:t>
      </w:r>
      <w:r>
        <w:rPr>
          <w:color w:val="000000"/>
          <w:vertAlign w:val="superscript"/>
        </w:rPr>
        <w:t>3</w:t>
      </w:r>
      <w:r>
        <w:rPr>
          <w:color w:val="000000"/>
        </w:rPr>
        <w:t>, которые устанавливаются на специальных площадках, для обслуживания групп жилых домов и общественных зданий. Среднесуточное накопление отходов составит: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1910 : 365 х 1 = 6,9 м</w:t>
      </w:r>
      <w:r>
        <w:rPr>
          <w:color w:val="000000"/>
          <w:vertAlign w:val="superscript"/>
        </w:rPr>
        <w:t>3.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С учетом периодичности вывоза мусора (1 выезд в два дня) количество контейнеров составит: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5,8 х 2 ≈ 3 шт.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На сегодняшний день в поселении контейнеры не установлены, поэтому на расчетный срок генеральным планом предлагается установить в черте населенных пунктов сельсовета 3 контейнера в соответствии с нормами </w:t>
      </w:r>
      <w:r>
        <w:rPr>
          <w:color w:val="373737"/>
        </w:rPr>
        <w:t>СанПиН 2.4.1.3049-13.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Твердые бытовые отходы населенных пунктов муниципального образования «Вышнереутчанский сельсовет» будут вывозиться за границы сельсовета.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Примерный расчет площади, необходимой для хранения твердых бытовых отходов приведен ниже: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1910 * 25 / 10 = 47 м</w:t>
      </w:r>
      <w:r>
        <w:rPr>
          <w:color w:val="000000"/>
          <w:vertAlign w:val="superscript"/>
        </w:rPr>
        <w:t>2</w:t>
      </w:r>
      <w:r>
        <w:rPr>
          <w:color w:val="000000"/>
        </w:rPr>
        <w:t> или 0,44 га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где: 25 – расчетный период, лет;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2124 – норма накопления отходов поселением в год, м</w:t>
      </w:r>
      <w:r>
        <w:rPr>
          <w:color w:val="000000"/>
          <w:vertAlign w:val="superscript"/>
        </w:rPr>
        <w:t>3</w:t>
      </w:r>
      <w:r>
        <w:rPr>
          <w:color w:val="000000"/>
        </w:rPr>
        <w:t>;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10 – высота складирования, м.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Таким образом, для размещения всех бытовых отходов, которые будут образованы в сельсовете до 2025 г., требуется обеспечить нали</w:t>
      </w:r>
      <w:r>
        <w:rPr>
          <w:rFonts w:ascii="Tahoma" w:hAnsi="Tahoma" w:cs="Tahoma"/>
          <w:color w:val="000000"/>
        </w:rPr>
        <w:t>чие свободной полигона, равной 0,44 га.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Для стабилизации и дальнейшего решения проблемы санитарной очистки территории поселения предлагается на первую очередь: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выявление всех несанкционированных свалок и их рекультивация;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организация регулярного сбора ТБО у населения, оборудование 2 контейнерных площадок, установка 10 контейнеров</w:t>
      </w:r>
    </w:p>
    <w:p w:rsidR="00B62383" w:rsidRDefault="00B62383" w:rsidP="00B62383">
      <w:pPr>
        <w:pStyle w:val="a8"/>
        <w:shd w:val="clear" w:color="auto" w:fill="EEEEEE"/>
        <w:spacing w:before="5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lang w:val="en-US"/>
        </w:rPr>
        <w:t>6.</w:t>
      </w:r>
      <w:r>
        <w:rPr>
          <w:rStyle w:val="ab"/>
          <w:color w:val="000000"/>
        </w:rPr>
        <w:t>Ответственность за нарушение благоустройства и санитарного содержания территории Вышнереутчанского сельсовета Медвенского района</w:t>
      </w:r>
    </w:p>
    <w:p w:rsidR="00B62383" w:rsidRDefault="00B62383" w:rsidP="00B62383">
      <w:pPr>
        <w:widowControl/>
        <w:numPr>
          <w:ilvl w:val="0"/>
          <w:numId w:val="29"/>
        </w:numPr>
        <w:shd w:val="clear" w:color="auto" w:fill="EEEEEE"/>
        <w:suppressAutoHyphens w:val="0"/>
        <w:autoSpaceDN/>
        <w:ind w:left="0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widowControl/>
        <w:numPr>
          <w:ilvl w:val="1"/>
          <w:numId w:val="29"/>
        </w:numPr>
        <w:shd w:val="clear" w:color="auto" w:fill="EEEEEE"/>
        <w:suppressAutoHyphens w:val="0"/>
        <w:autoSpaceDN/>
        <w:ind w:left="0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widowControl/>
        <w:numPr>
          <w:ilvl w:val="2"/>
          <w:numId w:val="29"/>
        </w:numPr>
        <w:shd w:val="clear" w:color="auto" w:fill="EEEEEE"/>
        <w:suppressAutoHyphens w:val="0"/>
        <w:autoSpaceDN/>
        <w:ind w:left="0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numPr>
          <w:ilvl w:val="3"/>
          <w:numId w:val="29"/>
        </w:numPr>
        <w:shd w:val="clear" w:color="auto" w:fill="EEEEEE"/>
        <w:suppressAutoHyphens w:val="0"/>
        <w:autoSpaceDN/>
        <w:spacing w:before="50" w:after="0" w:line="120" w:lineRule="atLeast"/>
        <w:ind w:left="0"/>
        <w:jc w:val="both"/>
        <w:textAlignment w:val="auto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1. </w:t>
      </w:r>
      <w:r>
        <w:rPr>
          <w:color w:val="000000"/>
        </w:rPr>
        <w:t>Контроль соблюдения Правил благоустройства и санитарного содержания территории Вышнереутчанского сельсовета Медвенского района осуществляют уполномоченные работники администрации поселения, орган санитарно-эпидемиологической службы и органы внутренних дел в пределах их компетенции.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t>2. </w:t>
      </w:r>
      <w:r>
        <w:rPr>
          <w:color w:val="000000"/>
        </w:rPr>
        <w:t>Лица, виновные в нарушении Правил благоустройства и санитарного содержания территории Вышнереутчанского сельсовета Медвенского района, привлекаются к ответственности в соответствии с законодательством Российской Федерации.</w:t>
      </w:r>
    </w:p>
    <w:p w:rsidR="00B62383" w:rsidRDefault="00B62383" w:rsidP="00B62383">
      <w:pPr>
        <w:pStyle w:val="a8"/>
        <w:shd w:val="clear" w:color="auto" w:fill="EEEEEE"/>
        <w:spacing w:before="0" w:after="0" w:line="120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lang w:val="en-US"/>
        </w:rPr>
        <w:lastRenderedPageBreak/>
        <w:t>3. </w:t>
      </w:r>
      <w:r>
        <w:rPr>
          <w:color w:val="000000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.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План-график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</w:rPr>
        <w:t>реализации мероприятий Генеральной схемы очистки территорий</w:t>
      </w:r>
    </w:p>
    <w:p w:rsidR="00B62383" w:rsidRDefault="00B62383" w:rsidP="00B62383">
      <w:pPr>
        <w:pStyle w:val="a8"/>
        <w:shd w:val="clear" w:color="auto" w:fill="EEEEEE"/>
        <w:spacing w:before="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bookmarkStart w:id="11" w:name="YANDEX_41"/>
      <w:bookmarkEnd w:id="11"/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b"/>
          <w:rFonts w:ascii="Tahoma" w:hAnsi="Tahoma" w:cs="Tahoma"/>
          <w:color w:val="000000"/>
        </w:rPr>
        <w:t>населенных пунктов Вышнереутчанского сельсовета</w:t>
      </w:r>
    </w:p>
    <w:p w:rsidR="00B62383" w:rsidRDefault="00B62383" w:rsidP="00B62383">
      <w:pPr>
        <w:pStyle w:val="a8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7"/>
          <w:szCs w:val="27"/>
        </w:rPr>
        <w:t>Сбор и вывоз ТБО</w:t>
      </w:r>
    </w:p>
    <w:tbl>
      <w:tblPr>
        <w:tblW w:w="10990" w:type="dxa"/>
        <w:tblCellSpacing w:w="0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3"/>
        <w:gridCol w:w="2849"/>
        <w:gridCol w:w="838"/>
        <w:gridCol w:w="443"/>
        <w:gridCol w:w="443"/>
        <w:gridCol w:w="443"/>
        <w:gridCol w:w="412"/>
        <w:gridCol w:w="412"/>
        <w:gridCol w:w="412"/>
        <w:gridCol w:w="374"/>
        <w:gridCol w:w="374"/>
        <w:gridCol w:w="343"/>
        <w:gridCol w:w="366"/>
        <w:gridCol w:w="1075"/>
        <w:gridCol w:w="1963"/>
      </w:tblGrid>
      <w:tr w:rsidR="00B62383" w:rsidTr="00B62383">
        <w:trPr>
          <w:tblCellSpacing w:w="0" w:type="dxa"/>
        </w:trPr>
        <w:tc>
          <w:tcPr>
            <w:tcW w:w="2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62383" w:rsidRDefault="00B62383">
            <w:pPr>
              <w:pStyle w:val="a8"/>
              <w:spacing w:before="5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62383" w:rsidRDefault="00B62383">
            <w:pPr>
              <w:pStyle w:val="a8"/>
              <w:spacing w:before="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№ </w:t>
            </w:r>
            <w:r>
              <w:rPr>
                <w:rStyle w:val="ab"/>
                <w:color w:val="000000"/>
                <w:sz w:val="12"/>
                <w:szCs w:val="12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62383" w:rsidRDefault="00B62383">
            <w:pPr>
              <w:pStyle w:val="a8"/>
              <w:spacing w:before="50" w:after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Единица измер.</w:t>
            </w:r>
          </w:p>
        </w:tc>
        <w:tc>
          <w:tcPr>
            <w:tcW w:w="718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Объемы работ и затраты по реализации мероприятия</w:t>
            </w:r>
          </w:p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(ф. ед./млн. руб.)</w:t>
            </w:r>
          </w:p>
        </w:tc>
        <w:tc>
          <w:tcPr>
            <w:tcW w:w="28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Ответственный</w:t>
            </w:r>
          </w:p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за исполнение мероприятия</w:t>
            </w:r>
          </w:p>
        </w:tc>
      </w:tr>
      <w:tr w:rsidR="00B62383" w:rsidTr="00B623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0"/>
              <w:ind w:right="-108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B62383" w:rsidRDefault="00B62383">
            <w:pPr>
              <w:pStyle w:val="a8"/>
              <w:spacing w:before="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40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ind w:left="-108" w:right="-108" w:firstLine="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в т.ч. по годам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</w:tr>
      <w:tr w:rsidR="00B62383" w:rsidTr="00B623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ind w:lef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ind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ind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ind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ind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ind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ind w:right="-108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</w:tr>
      <w:tr w:rsidR="00B62383" w:rsidTr="00B62383">
        <w:trPr>
          <w:tblCellSpacing w:w="0" w:type="dxa"/>
        </w:trPr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6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ind w:left="-108" w:righ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7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ind w:left="-108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8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9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14</w:t>
            </w:r>
          </w:p>
        </w:tc>
      </w:tr>
      <w:tr w:rsidR="00B62383" w:rsidTr="00B62383">
        <w:trPr>
          <w:trHeight w:val="390"/>
          <w:tblCellSpacing w:w="0" w:type="dxa"/>
        </w:trPr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6"/>
              <w:spacing w:before="0"/>
            </w:pPr>
            <w:r>
              <w:rPr>
                <w:b/>
                <w:bCs/>
                <w:color w:val="000000"/>
                <w:szCs w:val="24"/>
              </w:rPr>
              <w:t>Разработка схемы санитарной очистки, сбора и утилизации ТБО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млн.р.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8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ind w:left="-108" w:right="-45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Вышнереутчанского сельсовета</w:t>
            </w:r>
          </w:p>
        </w:tc>
      </w:tr>
      <w:tr w:rsidR="00B62383" w:rsidTr="00B62383">
        <w:trPr>
          <w:tblCellSpacing w:w="0" w:type="dxa"/>
        </w:trPr>
        <w:tc>
          <w:tcPr>
            <w:tcW w:w="2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Установка контейнеров емк. 5-7 куб.м и строительство контейнерных площадок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</w:tr>
      <w:tr w:rsidR="00B62383" w:rsidTr="00B623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млн.р.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0,55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</w:tr>
      <w:tr w:rsidR="00B62383" w:rsidTr="00B62383">
        <w:trPr>
          <w:trHeight w:val="360"/>
          <w:tblCellSpacing w:w="0" w:type="dxa"/>
        </w:trPr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</w:rPr>
              <w:t>Ликвидация стихийных свалок на территории города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млн.р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2383" w:rsidRDefault="00B62383">
            <w:pPr>
              <w:rPr>
                <w:sz w:val="12"/>
                <w:szCs w:val="12"/>
              </w:rPr>
            </w:pPr>
          </w:p>
        </w:tc>
      </w:tr>
      <w:tr w:rsidR="00B62383" w:rsidTr="00B62383">
        <w:trPr>
          <w:trHeight w:val="75"/>
          <w:tblCellSpacing w:w="0" w:type="dxa"/>
        </w:trPr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 w:line="7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3"/>
              <w:spacing w:before="0" w:line="75" w:lineRule="atLeast"/>
              <w:jc w:val="center"/>
              <w:rPr>
                <w:sz w:val="16"/>
                <w:szCs w:val="16"/>
              </w:rPr>
            </w:pPr>
            <w:r>
              <w:rPr>
                <w:rStyle w:val="ab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 w:line="75" w:lineRule="atLeast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млн.р.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 w:line="75" w:lineRule="atLeast"/>
              <w:jc w:val="both"/>
              <w:rPr>
                <w:sz w:val="12"/>
                <w:szCs w:val="12"/>
                <w:lang w:val="en-US"/>
              </w:rPr>
            </w:pPr>
            <w:r>
              <w:rPr>
                <w:rStyle w:val="ab"/>
                <w:color w:val="000000"/>
                <w:sz w:val="12"/>
                <w:szCs w:val="12"/>
                <w:lang w:val="en-US"/>
              </w:rPr>
              <w:t>0,77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 w:line="75" w:lineRule="atLeast"/>
              <w:jc w:val="both"/>
              <w:rPr>
                <w:sz w:val="12"/>
                <w:szCs w:val="12"/>
                <w:lang w:val="en-US"/>
              </w:rPr>
            </w:pPr>
            <w:r>
              <w:rPr>
                <w:rStyle w:val="ab"/>
                <w:color w:val="000000"/>
                <w:sz w:val="12"/>
                <w:szCs w:val="12"/>
                <w:lang w:val="en-US"/>
              </w:rPr>
              <w:t>0,1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 w:line="75" w:lineRule="atLeast"/>
              <w:ind w:left="-108" w:right="-108"/>
              <w:jc w:val="both"/>
              <w:rPr>
                <w:sz w:val="12"/>
                <w:szCs w:val="12"/>
                <w:lang w:val="en-US"/>
              </w:rPr>
            </w:pPr>
            <w:r>
              <w:rPr>
                <w:rStyle w:val="ab"/>
                <w:color w:val="000000"/>
                <w:sz w:val="12"/>
                <w:szCs w:val="12"/>
                <w:lang w:val="en-US"/>
              </w:rPr>
              <w:t>0,12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 w:line="75" w:lineRule="atLeast"/>
              <w:ind w:left="-108" w:right="-108"/>
              <w:jc w:val="both"/>
              <w:rPr>
                <w:sz w:val="12"/>
                <w:szCs w:val="12"/>
                <w:lang w:val="en-US"/>
              </w:rPr>
            </w:pPr>
            <w:r>
              <w:rPr>
                <w:rStyle w:val="ab"/>
                <w:color w:val="000000"/>
                <w:sz w:val="12"/>
                <w:szCs w:val="12"/>
                <w:lang w:val="en-US"/>
              </w:rPr>
              <w:t>0,25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 w:line="75" w:lineRule="atLeast"/>
              <w:ind w:left="-108" w:right="-108"/>
              <w:jc w:val="both"/>
              <w:rPr>
                <w:sz w:val="12"/>
                <w:szCs w:val="12"/>
                <w:lang w:val="en-US"/>
              </w:rPr>
            </w:pPr>
            <w:r>
              <w:rPr>
                <w:rStyle w:val="ab"/>
                <w:color w:val="000000"/>
                <w:sz w:val="12"/>
                <w:szCs w:val="12"/>
                <w:lang w:val="en-US"/>
              </w:rPr>
              <w:t>0,25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62383" w:rsidRDefault="00B62383">
            <w:pPr>
              <w:pStyle w:val="a8"/>
              <w:spacing w:before="0" w:after="0" w:line="75" w:lineRule="atLeast"/>
              <w:jc w:val="both"/>
              <w:rPr>
                <w:sz w:val="12"/>
                <w:szCs w:val="12"/>
                <w:lang w:val="en-US"/>
              </w:rPr>
            </w:pPr>
            <w:r>
              <w:rPr>
                <w:rStyle w:val="ab"/>
                <w:color w:val="000000"/>
                <w:sz w:val="12"/>
                <w:szCs w:val="12"/>
                <w:lang w:val="en-US"/>
              </w:rPr>
              <w:t>0,05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 w:line="75" w:lineRule="atLeast"/>
              <w:jc w:val="both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 w:line="75" w:lineRule="atLeast"/>
              <w:jc w:val="both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 w:line="75" w:lineRule="atLeast"/>
              <w:jc w:val="both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0" w:after="0" w:line="75" w:lineRule="atLeast"/>
              <w:jc w:val="both"/>
              <w:rPr>
                <w:sz w:val="12"/>
                <w:szCs w:val="12"/>
              </w:rPr>
            </w:pPr>
            <w:r>
              <w:rPr>
                <w:rStyle w:val="ab"/>
                <w:color w:val="000000"/>
                <w:sz w:val="12"/>
                <w:szCs w:val="12"/>
              </w:rPr>
              <w:t>-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 w:line="7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62383" w:rsidRDefault="00B62383">
            <w:pPr>
              <w:pStyle w:val="a8"/>
              <w:spacing w:before="50" w:after="50" w:line="75" w:lineRule="atLeast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B62383" w:rsidRDefault="00B62383" w:rsidP="00B62383">
      <w:pPr>
        <w:pStyle w:val="a8"/>
        <w:shd w:val="clear" w:color="auto" w:fill="EEEEEE"/>
        <w:spacing w:before="50" w:after="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12"/>
          <w:szCs w:val="12"/>
        </w:rPr>
        <w:t>7. ЗАКЛЮЧЕНИЕ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Анализ состояния санитарной очистки территории Вышнереутчанского сельсовета выявил следующие проблемы: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В настоящее время на территории Вышнереутчанского сельсовета централизованная муниципальная система управления коммунальными отходами отсутствует. Существующий порядок не позволяет из – за своей децентрализации получить достоверную информацию о фактических объемах образования отходов от всех категорий природопользователей, управлять потоками отходов, извлекать и использовать утильные фракции ТБО, а также исключить их несанкционированное размещение на территории поселения.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Отсутствует детальная инвентаризация образующихся в поселении отходов и мест их размещения.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Отсутствуют современные экологически безопасные и экономически выгодные способы обращения с отходами.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Контейнерные площадки отсутствуют.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качестве основных направлений работ по управлению ТБО предлагается: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Совершенствование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Разработка и реализация инвестиционных проектов по обращению с отходами производства и потребления.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Проведение инвентаризации объектов образования, сбора, транспортировки и размещения коммунальных отходов.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Внедрение комплексной механизации санитарной очистки, повышение её технического уровня и надежности,.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Разработка и внедрение устойчивой системы учета, а также контроля по сбору, транспортировке и безопасному захоронению неутильной части ТБО.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Обобщая вышеизложенное, необходимо сказать, что очистка территорий населенных пунктов является многоаспектной, а решение сложных задач не проводят в одно действие. Выстроить стройную систему, включающую все вопросы очистки территории Вышнереутчанского сельсовета, обращения с отходами от сбора до переработки, требует определенных затрат для решения задач – экологических, экономических, технологических, законодательных, социальных, научных, информационных и, наконец, этических.</w:t>
      </w:r>
    </w:p>
    <w:p w:rsidR="00B62383" w:rsidRDefault="00B62383" w:rsidP="00B62383">
      <w:pPr>
        <w:pStyle w:val="a8"/>
        <w:shd w:val="clear" w:color="auto" w:fill="EEEEEE"/>
        <w:spacing w:before="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Анализ сегодняшней ситуации по организации очистки Вышнереутчанского сельсовета показывает, что фактическое состояние территории Вышнереутчанского сельсовета находится в удовлетворительном состоянии.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pStyle w:val="a8"/>
        <w:shd w:val="clear" w:color="auto" w:fill="EEEEEE"/>
        <w:spacing w:before="50" w:after="0"/>
        <w:ind w:firstLine="845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62383" w:rsidRDefault="00B62383" w:rsidP="00B62383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B62383" w:rsidRDefault="00B62383" w:rsidP="00B62383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7" name="Рисунок 2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9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ПРОЕКТ Об утверждении Генеральной схемы очистки территорий населенных пунктов Вышнереутчанского сельсовета </w:t>
        </w:r>
      </w:hyperlink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B62383" w:rsidRDefault="00B62383" w:rsidP="00B62383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28.06.2017 17:34. Последнее изменение: 28.06.2017 17:34.</w:t>
      </w:r>
    </w:p>
    <w:p w:rsidR="00B62383" w:rsidRDefault="00B62383" w:rsidP="00B62383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1394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B62383" w:rsidTr="00B6238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62383" w:rsidRDefault="00B62383">
            <w:pPr>
              <w:jc w:val="right"/>
            </w:pPr>
            <w:hyperlink r:id="rId10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62383" w:rsidRDefault="00B62383">
            <w:r>
              <w:t>305002, г. Курск, ул. М.Горького, 65 А-3, офис 7</w:t>
            </w:r>
            <w:r>
              <w:br/>
              <w:t>E-mail: </w:t>
            </w:r>
            <w:hyperlink r:id="rId11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296A66" w:rsidRPr="00B62383" w:rsidRDefault="00296A66" w:rsidP="00B62383"/>
    <w:sectPr w:rsidR="00296A66" w:rsidRPr="00B62383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82" w:rsidRDefault="00787A82" w:rsidP="00296A66">
      <w:r>
        <w:separator/>
      </w:r>
    </w:p>
  </w:endnote>
  <w:endnote w:type="continuationSeparator" w:id="0">
    <w:p w:rsidR="00787A82" w:rsidRDefault="00787A82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82" w:rsidRDefault="00787A82" w:rsidP="00296A66">
      <w:r w:rsidRPr="00296A66">
        <w:rPr>
          <w:color w:val="000000"/>
        </w:rPr>
        <w:separator/>
      </w:r>
    </w:p>
  </w:footnote>
  <w:footnote w:type="continuationSeparator" w:id="0">
    <w:p w:rsidR="00787A82" w:rsidRDefault="00787A82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74BF"/>
    <w:multiLevelType w:val="multilevel"/>
    <w:tmpl w:val="18C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0678"/>
    <w:multiLevelType w:val="multilevel"/>
    <w:tmpl w:val="D61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A81D31"/>
    <w:multiLevelType w:val="multilevel"/>
    <w:tmpl w:val="39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"/>
  </w:num>
  <w:num w:numId="2">
    <w:abstractNumId w:val="26"/>
  </w:num>
  <w:num w:numId="3">
    <w:abstractNumId w:val="21"/>
  </w:num>
  <w:num w:numId="4">
    <w:abstractNumId w:val="28"/>
  </w:num>
  <w:num w:numId="5">
    <w:abstractNumId w:val="27"/>
  </w:num>
  <w:num w:numId="6">
    <w:abstractNumId w:val="12"/>
  </w:num>
  <w:num w:numId="7">
    <w:abstractNumId w:val="11"/>
  </w:num>
  <w:num w:numId="8">
    <w:abstractNumId w:val="22"/>
  </w:num>
  <w:num w:numId="9">
    <w:abstractNumId w:val="3"/>
  </w:num>
  <w:num w:numId="10">
    <w:abstractNumId w:val="0"/>
  </w:num>
  <w:num w:numId="11">
    <w:abstractNumId w:val="15"/>
  </w:num>
  <w:num w:numId="12">
    <w:abstractNumId w:val="8"/>
  </w:num>
  <w:num w:numId="13">
    <w:abstractNumId w:val="24"/>
  </w:num>
  <w:num w:numId="14">
    <w:abstractNumId w:val="14"/>
  </w:num>
  <w:num w:numId="15">
    <w:abstractNumId w:val="19"/>
  </w:num>
  <w:num w:numId="16">
    <w:abstractNumId w:val="23"/>
  </w:num>
  <w:num w:numId="17">
    <w:abstractNumId w:val="25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20"/>
  </w:num>
  <w:num w:numId="23">
    <w:abstractNumId w:val="7"/>
  </w:num>
  <w:num w:numId="24">
    <w:abstractNumId w:val="5"/>
  </w:num>
  <w:num w:numId="25">
    <w:abstractNumId w:val="2"/>
  </w:num>
  <w:num w:numId="26">
    <w:abstractNumId w:val="16"/>
  </w:num>
  <w:num w:numId="27">
    <w:abstractNumId w:val="6"/>
  </w:num>
  <w:num w:numId="28">
    <w:abstractNumId w:val="1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296A66"/>
    <w:rsid w:val="004C0230"/>
    <w:rsid w:val="005A10D5"/>
    <w:rsid w:val="00685183"/>
    <w:rsid w:val="0074030B"/>
    <w:rsid w:val="00787A82"/>
    <w:rsid w:val="007B17FC"/>
    <w:rsid w:val="008B1AA3"/>
    <w:rsid w:val="008B4125"/>
    <w:rsid w:val="00907AD7"/>
    <w:rsid w:val="009D7E72"/>
    <w:rsid w:val="00B175ED"/>
    <w:rsid w:val="00B62383"/>
    <w:rsid w:val="00D37F38"/>
    <w:rsid w:val="00F55578"/>
    <w:rsid w:val="00F77B8E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696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16965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4702</Words>
  <Characters>26802</Characters>
  <Application>Microsoft Office Word</Application>
  <DocSecurity>0</DocSecurity>
  <Lines>223</Lines>
  <Paragraphs>62</Paragraphs>
  <ScaleCrop>false</ScaleCrop>
  <Company/>
  <LinksUpToDate>false</LinksUpToDate>
  <CharactersWithSpaces>31442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17</cp:revision>
  <cp:lastPrinted>2019-04-04T14:53:00Z</cp:lastPrinted>
  <dcterms:created xsi:type="dcterms:W3CDTF">2023-09-30T19:07:00Z</dcterms:created>
  <dcterms:modified xsi:type="dcterms:W3CDTF">2023-09-30T19:35:00Z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