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1" w:rsidRPr="00334821" w:rsidRDefault="00334821" w:rsidP="00D0672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33482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«Управление муниципальным имуществом и земельными ресурсами Вышнер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утчанского сельсовета Медвенского района 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07.11.2018г. № 103-па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right="40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right="40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 утверждении муниципальной программы «Управление муниципальным имущ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ством и земельными ресурсами Вышнереутчанского сельсовета Медвенского ра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й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она 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Федеральным законом от 06.10.2003 №131-ФЗ «Об общих принципах организации местного самоуправления в Российской Федер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 (с изменениями и дополнениями), Указом Президента Российской Федерации от 28.04.2008 № 607 «Об оценке эффективности деятельн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сти органов местного самоуправления городских округов и муниципал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образований», Уставом муниципального образования «Вышнереу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 сельсовет» Медвенского района Курской обла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ти, Администрация Вышнереутчанского сельсовета Медвенского района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«Управление муниципальным имуществом и земельными ресурсами Вышнереутчанск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сельсовета Медвенского района на 2019-2021 годы» (далее по тексту – Программа).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тировке подлежат мероприятия и объёмы их финансирования с учётом возможностей средств бюджета Вышнереутчанского сельсовета Медве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собой.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и в сети «Интернет».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07.11.2018г. № 103-па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Муниципальная программа «Управление муниципальным им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у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ществом и земельными ресурсами Вышнереутчанского сельс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вета Медвенского района 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ПАСПОРТ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муниципальной программы «Управление муниципальным имуществом и земельными ресурсами Вышнереутчанского сельсовета Медвенского района 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3956"/>
      </w:tblGrid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Наименование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«Управление муниципальным имуществом и земельными ресурсами Вышнереутчанского сельсовета Медвенского района на 2019-2021 годы»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Основание для разработки программы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Указ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Разработчик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Исполнители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Подпрограммы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Подпрограмма 1. «Проведение муниципальной политики в области имущественных и земельных отношений»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Цели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оформление муниципального имущества расположенного на терр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тории Вышнереутчанского сельсовета в соответствии с законодательс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вом РФ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Задачи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-инвентаризация, паспортизация, регистрация и корректировка ре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стра муниципального имущества для создания условий эффективного его использования;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-повышения уровня доходности от управления и распоряжения м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ниципальной собственностью;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-увеличение базы для исчисления налоговых и неналоговых пост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плений от использования земельных ресурсов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-доля объектов недвижимости, на которые зарегистрировано право муниципальной собственности;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-доля объектов недвижимости, прошедших техническую инвент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ризацию;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left="34"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-затраты на содержание объектов муниципальной собственности;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Ресурсное обеспечение программы: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Общий объем финансирования составляет 123000 рублей, в том чи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ле: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местного бюджета - 123000 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областного бюджета - 0 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средства федерального бюджета - 0 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внебюджетные источники - 0 рублей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й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она</w:t>
            </w:r>
          </w:p>
        </w:tc>
      </w:tr>
    </w:tbl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I. Характеристика проблемы, на решение которой направлена Программа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Потребность разработки муниципальной программы «Управление муниципальным имуществом и земельными ресурсами Вышнереутчанского сельсовета Медвенского района на 2019-2021 годы» обусловлена исполнением Указа Президента Российской Федерации от 28.04.2008 № 607 «Об оценке эффективности де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тельности органов местного самоуправления городских округов и муниципальных образований».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 Вышнереутчанского сельсовета Медвенского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оформления правоустанавливающих документов на земельные участки под объекты, находящиеся в муниципальной собственности, необходимо 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кончить кадастровые работы по земельным участкам, занятыми соответствующими муниципальными объектами.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Федеральным законом «О государственной регистрации прав на недвижимое имущество и сделок с ним», при приеме имущества в муниципальную со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ственность требуется проведение оценки принимаемых объектов независимыми оценщиками, определенными на конкурсной основе. Оплата таких работ производи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ся также из средств местного бюджета.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Муниципальная программа «Управление муниципальным имуществом и земельными ресурсами Вышнереутчанского сельсовета Медвенского района на 2019-2021 годы» (далее - программа) включает в себя 1 подпрограмму «Проведение муниципальной политики в области имущественных и земельных отношений», которая предусматривает пополнение муниципального имущества и муниципальной казны, создание благоприятных условий для реализации полномочий, возложе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ных Федеральным законом от 06.10.2003 № 131-ФЗ, с целью повышения уровня и качества жизни людей на территории Вышнереутчанского сельсовета Медвенского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Программа и подпрограмма 1 направлены на решение наиболее важных проблем муниципального образования, путем организации и ведения учета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ниципального имущества за счет средств бюджета Вышнереутчанского сельсовета Медвенского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В соответствии с Земельным кодексом Российской Федерации в 2019-2021 гг. пл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нируется оформление земельных участков под существующими и планируемыми объе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тами имущества Администрации Вышнереутчанского сельсовета Медвенского района и проведение работ по описанию, планируемых генеральным планом, границ населенных пунктов, входящих в состав поселения, с уточнением площадей и описанием координат характерных точек, согласно Градостроительного кодекса Российской Федерации.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К существующим проблемам и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 сдерживающим факторам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, связанным с использов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нием муниципального имущества и вовлечением в оборот земельных участков, относятся: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-сложности формирования земельных участков,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затраты, необходимые для строительства ко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м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муникаций;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-отсутствие правоустанавливающих и правоудостоверяющих документов на объе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к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ты недвижимости, а так же охранных обязательств на объекты культурного наследия, что затрудняет использование муниципального имущества. Процедура оформления прав со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б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ственности на такие объекты долговременна и требует значительных затрат;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-отсутствие данных документов не позволяет в полном объёме задействовать м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у</w:t>
      </w:r>
      <w:r w:rsidRPr="0033482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ниципальное имущество для сдачи в аренду или его продажи.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-низкий спрос на объекты недвижимости, находящиеся в собственности муниц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пального образования, которые требуют капитального ремонта.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Также актуальной проблемой в сфере земельно-имущественных отношений явл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ется реализация законодательства, регулирующего вопросы государственной кадастровой оценки объектов недвижимости.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пов ее реализации, а также целевые индикаторы и показатели, характ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ризующие эффективность реализации Программы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Целью программы является оформление муниципального имущества расположенного на территории муниципального образования «Вышнереутчанский сельсовет» Медвенского района Курской области в соответствии с законодательством РФ.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достижения этой цели программой предусматривается решение следующих задач: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-инвентаризация, паспортизация, регистрация и корректировка реестра муниципального имущества для создания условий эффективного его использ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-повышения уровня доходности от управления и распоряжения муниципальной собственностью;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-увеличение базы для исчисления налоговых и неналоговых поступлений от использования земельных ресурсов;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-осуществление функций и полномочий в области жилищных отношений.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 инвентаризации паспортизации, регистрации и корректировки реестра существующего муниципального имущества;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-выявление бесхозяйного имущества;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 независимой оценки выявленного бесхозяйного имущества;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 выявленных объектов в реестр муниципального имущества;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-оформление земельных участков под существующими и планируемыми объектами муниципального имущества;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-увеличение базы для исчисления налоговых и неналоговых поступлений от использования земельных ресурсов;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-повышение уровня доходности от управления и распоряжения муниципальной собственностью;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оформления правоустанавливающих документов на земельные участки под объектами, находящимися в муниципальной собственности, переданн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ы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муниципальным учреждениям в оперативное управление, необходимо закончить кадастровые работы по земельным участкам, занятым соответствующ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 муниципальными объектами: автомобильные дороги (1 шт.), скважины (4 шт.), водопроводные башни (5 шт.), водопроводы (31,0 км), памятники (2 шт.), кладб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 (2 шт.)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период реализации программы (2019-2021 годы) планируется: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получение свидетельств о государственной регистрации права собственности на объекты недвижимости – 14 объектов.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Прогнозируемые значения целевых индикаторов и показателей Программы, позволяющие оценить эффективность реализации Программы по годам, ук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заны в приложении № 1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III. Перечень программных мероприятий, сроки их реализации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Программа предусматривает проведение следующих мероприятий: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Проведение в установленном порядке технической инвентаризации объектов м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Составление межевых планов земельных участков и постановка их на кадастр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вый учет.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Уплата налога на имущество организаций и земельного налога.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Уплата прочих налогов, сборов и иных платежей.</w:t>
      </w:r>
    </w:p>
    <w:p w:rsidR="00334821" w:rsidRPr="00334821" w:rsidRDefault="00334821" w:rsidP="00334821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IV. Ресурсное обеспечение Программы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Финансирование программных мероприятий предусмотрено осуществлять за счет средств местного бюджета.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Объем бюджетных ассигнований, необходимых для реализации муниципальной программы за счет средств местного бюджета составляет – 123000 ру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лей, в том числе по годам реализации: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2019 год – 123000рублей;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2020 год – 0 рублей;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2021 год – 0 рублей.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Объемы финансирования мероприятий Программы уточняются ежегодно.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программы, а также сроки и источники ф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V. Управление реализацией программы и контроль за ходом ее выполнения.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Координацию деятельности по реализации Программы осуществляет Администрации Вышнереутчанского сельсовета Медвенского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 Медвенского района в случае необходимости вносит предложения по уточнению и корректировке 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граммных мероприятий, сроков их исполнения, а также по распределению и перераспределению финансовых средств.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Контроль за исполнением Программы осуществляет Администрация Вышнереутчанского сельсовета Медвенского района.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val="en-US" w:eastAsia="ru-RU" w:bidi="ar-SA"/>
        </w:rPr>
        <w:t>VI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. Оценка социально-экономической эффективности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реализации Программы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– оценка достижения запланированных результатов;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 – фактически достигнутые значения целевых индикаторов;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 – плановые значения.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нансирования за отчетный период с объемами, предусмотренными программой на соответствующий период, по следующей формуле: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Фи – оценка уровня финансирования мероприятий;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Фф – фактический уровень финансирования мероприятий;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Фп – объем финансирования мероприятия, предусматриваемый программой.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где: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– степень выполнения мероприятий программы;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Мп – количество мероприятий программы, запланированных на отчетный период.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ПАСПОРТ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подпрограммы 1 «Проведение муниципальной политики в области имущественных и земельных отношений»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4449"/>
      </w:tblGrid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Наименование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Проведение муниципальной политики в области имущественных и земельных отношений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Ответственный исполнитель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Цели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оформление муниципального имущества расположенного на территории Вышнер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утчанского сельсовета в соответствии с законодательством РФ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Задачи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-инвентаризация, паспортизация, регистрация и корректировка реестра м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ниципального имущества для создания условий эффективного его использования;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-повышения уровня доходности от управления и распоряжения муниципал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ной собственностью;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left="34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-увеличение базы для исчисления налоговых и неналоговых поступлений от использования земельных ресурсов;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Целевые показатели подпр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-доля объектов недвижимости, на которые зарегистрировано право муниц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пальной собственности;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-доля объектов недвижимости, прошедших техническую инвентаризацию;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left="34"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-затраты на содержание объектов муниципальной собственности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Сроки и этапы реализации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334821" w:rsidRPr="00334821" w:rsidTr="00334821">
        <w:trPr>
          <w:tblCellSpacing w:w="7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Объемы и источники финанс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рования подпрограммы</w:t>
            </w:r>
          </w:p>
        </w:tc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Общий объем финансиров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 123000 рублей в том числе: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местного бюджета 12300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0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областного бюджета 0. 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средства федерального бюджета 0 рублей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внебюджетные источники 0 рублей</w:t>
            </w:r>
          </w:p>
        </w:tc>
      </w:tr>
    </w:tbl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I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 </w:t>
      </w: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Содержание проблемы (задачи), анализ причин ее возникновения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Подпрограмма определяет действия Администрации Вышнереутчанского сельсовета Медвенского района по контролю за использованием муниципальн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имущества и обеспечению его деятельности, направленные на создание условий для вовлечения в хозяйственный оборот объектов муниципального имущества, что позволит сократить расходы бюджета на содержание муниципального имущества и повысить доходы от его использования, т.е. повысить эффективность мун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ципального управления имуществом.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Целью подпрограммы является оформление муниципального имущества расположенного на территории Вышнереутчанского сельсовета в соответствии с законодательством РФ.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достижения этой цели подпрограммой предусматривается решение следующих задач: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-инвентаризация, паспортизация, регистрация и корректировка реестра муниципального имущества для создания условий эффективного его использ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-повышения уровня доходности от управления и распоряжения муниципальной собственностью;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-увеличение базы для исчисления налоговых и неналоговых поступлений от использования земельных ресурсов.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Целевые показатели (индикаторы) и меры, характеризующие эффективность реал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зации подпрограммы: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-доля объектов недвижимости, на которые зарегистрировано право муниципальной собственности: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10%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–25%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2021 год – 50%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-доля объектов недвижимости, прошедших техническую инвентаризацию: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2019 год – 10%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2020 год –25%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на 2021 год – 50%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3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-затраты на содержание объектов муниципальной собственности: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2019 год – 123000 рублей;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2020 год –0 рублей;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2021 год – 0 рублей.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финанс</w:t>
      </w:r>
      <w:r w:rsidRPr="0033482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33482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рования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Программа предусматривает проведение следующих мероприятий: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Проведение в установленном порядке технической инвентаризации объектов м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Составление межевых планов земельных участков и постановка их на кадастр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вый учет.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Уплата налога на имущество организаций и земельного налога; уплата прочих н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логов, сборов и иных платежей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Проведение в установленном порядке технической инвентаризации объектов м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Составление межевых планов земельных участков и постановка их на кадастр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вый учет.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color w:val="000000"/>
          <w:kern w:val="0"/>
          <w:lang w:eastAsia="ru-RU" w:bidi="ar-SA"/>
        </w:rPr>
        <w:t>- Уплата налога на имущество организаций и земельного налога; уплата прочих н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334821">
        <w:rPr>
          <w:rFonts w:eastAsia="Times New Roman" w:cs="Times New Roman"/>
          <w:color w:val="000000"/>
          <w:kern w:val="0"/>
          <w:lang w:eastAsia="ru-RU" w:bidi="ar-SA"/>
        </w:rPr>
        <w:t>логов, сборов и иных платежей.</w:t>
      </w:r>
    </w:p>
    <w:p w:rsidR="00334821" w:rsidRPr="00334821" w:rsidRDefault="00334821" w:rsidP="00334821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100D0F"/>
          <w:kern w:val="0"/>
          <w:sz w:val="12"/>
          <w:szCs w:val="12"/>
          <w:lang w:eastAsia="ru-RU" w:bidi="ar-SA"/>
        </w:rPr>
        <w:t>Срок реализации данных мероприятий – 2019-2021 годы.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№ 1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граммы «Упра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пальным имущ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ством и 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мельн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ы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сами Вышн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сельс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она на 2019-2021 г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38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2596"/>
        <w:gridCol w:w="2045"/>
        <w:gridCol w:w="878"/>
        <w:gridCol w:w="870"/>
        <w:gridCol w:w="773"/>
        <w:gridCol w:w="1754"/>
      </w:tblGrid>
      <w:tr w:rsidR="00334821" w:rsidRPr="00334821" w:rsidTr="00334821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индик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торов и показателей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Единица измер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55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Значения индикаторов и показателей Программы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 период ре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лизации Пр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</w:tr>
      <w:tr w:rsidR="00334821" w:rsidRPr="00334821" w:rsidTr="00334821">
        <w:trPr>
          <w:trHeight w:val="64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-доля объектов недвижимости, на которые зарегистрировано право муниципальной собс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венности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100%</w:t>
            </w:r>
          </w:p>
        </w:tc>
      </w:tr>
      <w:tr w:rsidR="00334821" w:rsidRPr="00334821" w:rsidTr="00334821">
        <w:trPr>
          <w:trHeight w:val="495"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100%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-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затраты на содержание объектов муниципал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ной собственности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123000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областной бю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right="-79" w:firstLine="99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№ 2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граммы «Упра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пальным имущ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ством и 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мельн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ы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сами Вышн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сельс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она на 2019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-2021 г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Перечень мероприятий муниципальной программы «Управление муниципальным имуществом и земельными ресурсами Вышнереутчанского сельсовета Медвенского района 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3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1774"/>
        <w:gridCol w:w="206"/>
        <w:gridCol w:w="263"/>
        <w:gridCol w:w="1082"/>
        <w:gridCol w:w="1233"/>
        <w:gridCol w:w="977"/>
        <w:gridCol w:w="806"/>
        <w:gridCol w:w="636"/>
        <w:gridCol w:w="1810"/>
        <w:gridCol w:w="820"/>
        <w:gridCol w:w="820"/>
        <w:gridCol w:w="739"/>
        <w:gridCol w:w="739"/>
        <w:gridCol w:w="1416"/>
        <w:gridCol w:w="250"/>
        <w:gridCol w:w="702"/>
      </w:tblGrid>
      <w:tr w:rsidR="00334821" w:rsidRPr="00334821" w:rsidTr="00334821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Цели, приорите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ные направления и задачи Пр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Сроки в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Исполнители м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роприятий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расх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ф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43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Объемы финансирования (руб.)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Ожидаемый результат (в натуральном выражении - целевые значения)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32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450"/>
          <w:tblCellSpacing w:w="0" w:type="dxa"/>
        </w:trPr>
        <w:tc>
          <w:tcPr>
            <w:tcW w:w="1516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Цель № 1. оформление муниципального имущества, расположенного на территории Вышнереутчанского сельсовета в соответс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вии с законодательством РФ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450"/>
          <w:tblCellSpacing w:w="0" w:type="dxa"/>
        </w:trPr>
        <w:tc>
          <w:tcPr>
            <w:tcW w:w="1516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Задача 1: инвентаризация, паспортизация, регистрация и корректировка реестра муниципального имущества для создания усл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вий эффективного его использования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45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3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в у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тановленном п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рядке технич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инвентар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зации объектов муниципального недвижимого имущества, оформление кад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стровых паспо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тов, оформление права собстве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прочие ра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70000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оформление имущества на 50%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45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3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Составление м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жевых планов з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мельных участков и постановка их на кадастровый учет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оформл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имущ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ства на 50%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255"/>
          <w:tblCellSpacing w:w="0" w:type="dxa"/>
        </w:trPr>
        <w:tc>
          <w:tcPr>
            <w:tcW w:w="1516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3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Уплата налога на имущество организаций и земельного н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лога</w:t>
            </w:r>
          </w:p>
        </w:tc>
        <w:tc>
          <w:tcPr>
            <w:tcW w:w="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2019 - 2021гг.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прочие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муниц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пального имущества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0,5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не менее 15 участников за период реализации Программы</w:t>
            </w:r>
          </w:p>
        </w:tc>
      </w:tr>
      <w:tr w:rsidR="00334821" w:rsidRPr="00334821" w:rsidTr="00334821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Уплата прочих налогов, сборов и иных плат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348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8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2019 - 2021гг.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Администрация Вышнереутчанского сельсовета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прочие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Содержание муниц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пального имущества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rHeight w:val="225"/>
          <w:tblCellSpacing w:w="0" w:type="dxa"/>
        </w:trPr>
        <w:tc>
          <w:tcPr>
            <w:tcW w:w="849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Итого по программе:</w:t>
            </w:r>
          </w:p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8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3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№ 3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ind w:left="90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пр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граммы «Упра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м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пальным имущ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ством и з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мельн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ы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 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сами Вышн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сельс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ра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она на 2019-2021 г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Ресурсное обеспечение муниципальной программы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«Управление муниципальным имуществом и земельными ресурсами Вышнереутчанского сельсовета Медвенского района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на 2019-2021 годы»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87"/>
        <w:gridCol w:w="1673"/>
        <w:gridCol w:w="1673"/>
        <w:gridCol w:w="1619"/>
        <w:gridCol w:w="1628"/>
      </w:tblGrid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Всего за период реализации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1-й год реализации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2-й год реализации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3-й год реализации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123000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34821" w:rsidRPr="00334821" w:rsidTr="00334821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том числе в разрезе главных распорядителей средств бюджета Вышнереутчанского сельсовета, ответственных за реализацию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334821" w:rsidRPr="00334821" w:rsidRDefault="00334821" w:rsidP="0033482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3" name="Рисунок 8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8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3348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«Управление муниципальным имуществом и земельными ресурсами Вышнереутчанского сельсовета Медвенского района на 2019-2021 годы» </w:t>
        </w:r>
      </w:hyperlink>
      <w:r w:rsidRPr="0033482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3482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17:06. Последнее изменение: 29.11.2018 17:06.</w:t>
      </w:r>
    </w:p>
    <w:p w:rsidR="00334821" w:rsidRPr="00334821" w:rsidRDefault="00334821" w:rsidP="003348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3482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1130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34821" w:rsidRPr="00334821" w:rsidTr="0033482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33482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3482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34821" w:rsidRPr="00334821" w:rsidRDefault="00334821" w:rsidP="003348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3482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33482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33482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34821" w:rsidRDefault="00296A66" w:rsidP="00334821"/>
    <w:sectPr w:rsidR="00296A66" w:rsidRPr="0033482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21" w:rsidRDefault="00D06721" w:rsidP="00296A66">
      <w:r>
        <w:separator/>
      </w:r>
    </w:p>
  </w:endnote>
  <w:endnote w:type="continuationSeparator" w:id="0">
    <w:p w:rsidR="00D06721" w:rsidRDefault="00D0672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21" w:rsidRDefault="00D06721" w:rsidP="00296A66">
      <w:r w:rsidRPr="00296A66">
        <w:rPr>
          <w:color w:val="000000"/>
        </w:rPr>
        <w:separator/>
      </w:r>
    </w:p>
  </w:footnote>
  <w:footnote w:type="continuationSeparator" w:id="0">
    <w:p w:rsidR="00D06721" w:rsidRDefault="00D0672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8CE"/>
    <w:multiLevelType w:val="multilevel"/>
    <w:tmpl w:val="A2C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96A66"/>
    <w:rsid w:val="00315732"/>
    <w:rsid w:val="0033286D"/>
    <w:rsid w:val="00334821"/>
    <w:rsid w:val="003823C8"/>
    <w:rsid w:val="004305AA"/>
    <w:rsid w:val="0045470B"/>
    <w:rsid w:val="00467304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06721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10</Pages>
  <Words>3469</Words>
  <Characters>19777</Characters>
  <Application>Microsoft Office Word</Application>
  <DocSecurity>0</DocSecurity>
  <Lines>164</Lines>
  <Paragraphs>46</Paragraphs>
  <ScaleCrop>false</ScaleCrop>
  <Company/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47</cp:revision>
  <cp:lastPrinted>2019-04-04T14:53:00Z</cp:lastPrinted>
  <dcterms:created xsi:type="dcterms:W3CDTF">2023-09-30T19:07:00Z</dcterms:created>
  <dcterms:modified xsi:type="dcterms:W3CDTF">2023-10-01T06:20:00Z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