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8A" w:rsidRPr="0059658A" w:rsidRDefault="0059658A" w:rsidP="00D546A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9658A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утверждении порядка санкционирования оплаты денежных обязательств получателей средств бюджета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30.10.2018 года № 87-па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утверждении порядка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санкционирования оплаты денежных об</w:t>
      </w:r>
      <w:r w:rsidRPr="0059658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я</w:t>
      </w:r>
      <w:r w:rsidRPr="0059658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зательств получателей средств бюджета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219, 219.2 Бюджетного кодекса Российской Федерации, Администрация Вышнереутчанского сельсовета Медвенского района Курской области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Порядок санкционирования оплаты денежных обяз</w:t>
      </w: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 получателей средств бюджета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Контроль за выполнением настоящего постановления возложить на н</w:t>
      </w:r>
      <w:r w:rsidRPr="0059658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9658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чальника отдела бюджетного учета и отчётности, главного бухгалтера Г.Е.Подтуркину.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ind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 Настоящее</w:t>
      </w:r>
      <w:r w:rsidRPr="0059658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</w:t>
      </w: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 вступает в силу со дня его подписания и распространяется на правоотношения, возникшие с 01 января 2019 года.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от 30.10.2018г N 87-па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САНКЦИОНИРОВАНИЯ ОПЛАТЫ ДЕНЕЖНЫХ ОБЯЗАТЕЛЬСТВ ПОЛУЧАТЕЛЕЙ СРЕДСТВ БЮДЖЕТА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1. Настоящий Порядок разработан на основании </w:t>
      </w:r>
      <w:hyperlink r:id="rId8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статей 219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и </w:t>
      </w:r>
      <w:hyperlink r:id="rId9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219.2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Бюджетного кодекса Российской Федерации и устанавливает порядок санкционирования оплаты денежных обязательств получателей средств бюджета муниципального образования «Вышнереутчанский сельсовет» Медвенского района Курской области органом, осуществляющим полномочия по санкционированию оплаты денежных обязательств - (далее-уполномоченный орган).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2. Для оплаты денежных обязательств получатели средств бюджета, пре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ставляют в уполномоченный орган Заявку на кассовый расход (код по ведомс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венному классификатору форм документов (далее - код по КДФ) – 0531801) или </w:t>
      </w:r>
      <w:hyperlink r:id="rId10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Заявку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 получение наличных денег (код по КФД 0531802),Заявку на получ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ние денежных средств, перечисляемых на карту (код формы по КФД 0531802), 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явку на возврат (код формы по КФД 0531803) (далее – Заявка) в порядке, уст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новленном в соответствии с бюджетным законодательством Российской Федер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ции.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3. Уполномоченный орган не позднее рабочего дня, следующего за днем представления получателем средств местного бюджета Заявок, проверяет их на соответствие установленной форме, наличие в ней реквизитов и показателей, предусмотренных </w:t>
      </w:r>
      <w:hyperlink r:id="rId11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настоящего Порядка, наличие документов, пред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смотренных </w:t>
      </w:r>
      <w:hyperlink r:id="rId12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пунктами 7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1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8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а также соответствие показателей Заявок указанным в нем документам в соответствии с условиями </w:t>
      </w:r>
      <w:hyperlink r:id="rId14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 6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 и соответствующим требованиям, установленным </w:t>
      </w:r>
      <w:hyperlink r:id="rId15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пунктами 10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- </w:t>
      </w:r>
      <w:hyperlink r:id="rId16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1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 настоящего Порядка.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4. Заявки проверяются на наличие в них следующих реквизитов и показ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телей: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1) подписей, соответствующих имеющимся образцам, представленным п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лучателем средств бюджета;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3) кодов классификации расходов местного бюджета (классификации 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точников финансирования дефицитов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4) суммы кассового расхода (кассовой выплаты) и кода валюты в соотве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ствии с Общероссийским </w:t>
      </w:r>
      <w:hyperlink r:id="rId17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классификатором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валют, в которой он должен быть пр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изведен;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5) суммы кассового расхода (кассовой выплаты) в валюте Российской Ф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дерации, в рублевом эквиваленте, исчисленном на дату оформления Заявки;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6) вида средств;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местного бюджета 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9) номера и серии чека (при представлении Заявки на получение нали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ных денег (код по КФД </w:t>
      </w:r>
      <w:hyperlink r:id="rId18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0531802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10) срока действия чека (при представлении Заявки на получение нали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ных денег (код по КФД </w:t>
      </w:r>
      <w:hyperlink r:id="rId19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0531802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11) фамилии, имени и отчества получателя средств по чеку (при пре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ставлении Заявки на получение наличных денег (код по КФД </w:t>
      </w:r>
      <w:hyperlink r:id="rId20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0531802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12) данных документов, удостоверяющих личность получателя средств по чеку (при представлении Заявки на получение наличных денег (код по КФД </w:t>
      </w:r>
      <w:hyperlink r:id="rId21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0531802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13) данных для осуществления налоговых и иных обязательных платежей в бюджеты бюджетной системы Российской Федерации, предусмотре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ных </w:t>
      </w:r>
      <w:hyperlink r:id="rId22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Правилами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указания информации в реквизитах распоряжений о переводе 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нежных средств в уплату платежей в бюджетную систему Российской Федерации;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14) реквизитов (номер, дата) документов (предмета договора, (государс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контракта, соглашения) (при наличии), предусмотренных графой 2 </w:t>
      </w:r>
      <w:hyperlink r:id="rId2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Перечня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документов, на основании которых возникают бюджетные обязательс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ва получателей средств местного бюджета, и документов, подтверждающих во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никновение денежных обязательств получателей средств местного бюджета (д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лее - Перечень документов) , предоставляемых получателями средств местного бюджета при постановке на учет бюджетных и денежных обязательств;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15) реквизитов (тип, номер, дата) документа, подтверждающего возникн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вение денежного обязательства при поставке товаров (накладная и (или) акт пр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емки-передачи и (или) счет-фактура), выполнении работ, оказании услуг (акт в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тельств, предусмотренных графой 3 </w:t>
      </w:r>
      <w:hyperlink r:id="rId24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Перечня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документов (далее - документы, по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тверждающие возникновение денежных обязательств), за исключением реквиз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дарственного контракта), внесения арендной платы по договору (государственн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5.Положения подпункта14,15 настоящего пункта не применяются: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 отношении </w:t>
      </w:r>
      <w:hyperlink r:id="rId25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Заявки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 кассовый расход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нужд (далее - договор (государственный контракт) законодательством Российской Федерации не предусмотрено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проверке </w:t>
      </w:r>
      <w:hyperlink r:id="rId26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Заявки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 получение наличных денег;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 одном Платежном документе может содержаться одна сумма кассовых расходов (кассовых выплат) по коду классификации расходов бюджетов по одному денежному обязательству получателя средств местного бюджета.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ется проверка Заявки по следующим направлениям: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99"/>
      <w:bookmarkEnd w:id="0"/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1) соответствие указанных в Заявке кодов классификации расходов мес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ного бюджета кодам бюджетной классификации Российской Федерации, дейс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вующим в текущем финансовом году на момент представления Заявки;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2) соответствие содержания операции, исходя из денежного обязательс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ва, содержанию текста назначения платежа, указанному в Заявке;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3) соответствие указанных в Заявке кодов видов расходов классификации расходов местного бюджета текстовому назначению платежа, исходя из содерж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ния текста назначения платежа, в соответствии с порядком применения бюдже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ной классификации Российской Федерации (далее - порядок применения бюдже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ной классификации);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105"/>
      <w:bookmarkEnd w:id="1"/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4) непревышение сумм в Заявке остатков соответствующих лимитов бю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жетных обязательств и предельных объемов финансирования , учтенных на соо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ветствующем лицевом счете;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5) соответствие наименования, ИНН, КПП, банковских реквизитов получ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6) соответствие реквизитов Заявки на кассовый расход требованиям бю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жетного законодательства Российской Федерации о перечислении средств местн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го бюджета на счета, открытые органам Федерального казначейства в учрежден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ях Центрального банка Российской Федерации;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8) идентичность кода участника бюджетного процесса по Сводному реес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ру по денежному обязательству и платежу;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9) идентичность кода (кодов) классификации расходов местного бюджета по денежному обязательству и платежу;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10) идентичность кода валюты, в которой принято денежное обязательс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во, и кода валюты, в которой должен быть осуществлен платеж по Заявке;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11) непревышение суммы Заявки над суммой неисполненного денежного обязательства, рассчитанной как разница суммы денежного обязательства (в сл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чае исполнения денежного обязательства многократно - с учетом ранее произв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денных выплат по данному денежному обязательству) и суммы ранее произведе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ного в рамках соответствующего бюджетного обязательства авансового платежа, по которому не подтверждена поставка товара (выполнение работ, оказание 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луг);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12) соответствие кода классификации расходов местного бюджета и кода объекта ФАИП по денежному обязательству и платежу;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13)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121"/>
      <w:bookmarkStart w:id="3" w:name="P123"/>
      <w:bookmarkEnd w:id="2"/>
      <w:bookmarkEnd w:id="3"/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14) соответствие уникального номера реестровой записи в реестре ко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трактов, указанном в </w:t>
      </w:r>
      <w:hyperlink r:id="rId27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3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графы 2 Перечня документов (далее - реестр ко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трактов), договору (государственному контракту), подлежащему включению в 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естр контрактов;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127"/>
      <w:bookmarkStart w:id="5" w:name="P125"/>
      <w:bookmarkStart w:id="6" w:name="P124"/>
      <w:bookmarkEnd w:id="4"/>
      <w:bookmarkEnd w:id="5"/>
      <w:bookmarkEnd w:id="6"/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7. Получатель средств местного бюджета для оплаты денежных обяз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тельств, возникающих по государственным контрактам на поставку товаров, в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полнение работ, оказание услуг, по договорам аренды указывает в Заявке в соо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требованиями, установленными в </w:t>
      </w:r>
      <w:hyperlink r:id="rId28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подпункте 14 пункта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настоящего Порядка, реквизиты и предмет соответствующего государственного контракта на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Для оплаты денежных обязательств при поставке товаров, выполнении работ, оказании услуг, в случаях, когда заключение государственных контрактов на поставку товаров, выполнение работ, оказание услуг законодательством Ро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 не предусмотрено, в Заявке указываются в соответствии с требованиями, установленными в </w:t>
      </w:r>
      <w:hyperlink r:id="rId29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подпункте 14 пункта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настоящего Порядка, только реквизиты соответствующего документа, подтверждающего возникновение денежного обязательства (далее –документ-основание).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Для оплаты денежных обязательств по авансовым платежам в соответс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вии с условиями государственного контракта на поставку товаров, выполнение работ, оказание услуг, а также денежных обязательств по договору аренды в Пл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тежном документе реквизиты документов, подтверждающих возникновение 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нежных обязательств, в соответствии с требованиями, установленными в </w:t>
      </w:r>
      <w:hyperlink r:id="rId30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подпункте 14 пункта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настоящего Порядка, могут не указываться.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8. Для подтверждения возникновения денежного обязательства получ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тель средств местного бюджета представляет в уполномоченный орган вместе с Заявкой указанные в нем в соответствии с </w:t>
      </w:r>
      <w:hyperlink r:id="rId31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подпунктом 14,15 пункта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и </w:t>
      </w:r>
      <w:hyperlink r:id="rId32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6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 соответствующий государственный контракт на поставку товаров, выполнение работ, оказание услуг или договор аренды и (или) - док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мент-основание согласно требованиям, установленным </w:t>
      </w:r>
      <w:hyperlink r:id="rId3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10 настоящего Порядка.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Контракты (договоры), документы-основания, указанные в </w:t>
      </w:r>
      <w:hyperlink r:id="rId34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подпунктах 14,15 пункта 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4 настоящего пункта, представляются получателем средств в упо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номоченный орган в форме электронной копии бумажного документа, созданной посредством его сканирования, или копии электронного документа, подписанной электронной подписью уполномоченного лица организации (далее - электронная копия документа).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9. Требования, установленные </w:t>
      </w:r>
      <w:hyperlink r:id="rId35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7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не распр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страняются на санкционирование оплаты денежных обязательств, связанных: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обеспечением выполнения функций казенных учреждений (за исключ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нием денежных обязательств по поставкам товаров, выполнению работ, оказанию услуг, аренде);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социальными выплатами населению;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предоставлением субсидий юридическим лицам, индивидуальным пре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принимателям, физическим лицам - производителям товаров, работ, услуг;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предоставлением межбюджетных трансфертов;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обслуживанием государственного (муниципального) долга;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 исполнением судебных актов по искам к Российской Федерации о возм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щении вреда, причиненного гражданину или юридическому лицу в результате 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законных действий (бездействия) органов государственной власти Российской Ф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 (государственных органов Российской Федерации) либо должностных лиц этих органов.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10. Получатель средств местного бюджета представляет в уполномоче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ный орган документ-основание в форме электронной копии бумажного документа, созданной посредством его сканирования, или копии электронного документа, подписанной электронной подписью уполномоченного лица организации (далее - электронная копия документа).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11.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1) коды классификации расходов бюджетов, указанные в Платежном док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менте, должны соответствовать кодам бюджетной классификации Российской Ф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 и Курской области, действующим в текущем финансовом году на момент представления Платежного документа;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2) соответствие указанных в Платежном документе кодов видов расходов, относящихся к расходам бюджетов, исходя из содержания текста назначения пл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тежа, кодам, указанным в </w:t>
      </w:r>
      <w:hyperlink r:id="rId36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порядке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применения бюджетной классификации Росси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утвержденном в установленном порядке Министерством фина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сов Российской Федерации;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3) непревышение сумм, указанных в Платежном документе, остаткам соо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ветствующих лимитов бюджетных обязательств, предельных объемов финансир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вания, учтенных на лицевом счете получателя бюджетных средств.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12. В случае если форма или информация, указанная в Заявке, не соотве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ствуют требованиям, установленным </w:t>
      </w:r>
      <w:hyperlink r:id="rId37" w:anchor="P6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пунктами 3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38" w:anchor="P66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4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39" w:anchor="P99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подпунктами 1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- </w:t>
      </w:r>
      <w:hyperlink r:id="rId40" w:anchor="P121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14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41" w:anchor="P125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 6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42" w:anchor="P128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пунктами 7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43" w:anchor="P137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8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и </w:t>
      </w:r>
      <w:hyperlink r:id="rId44" w:anchor="P141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10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или в случае установления нарушения получателем средств федерального бюджета условий, установле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ных </w:t>
      </w:r>
      <w:hyperlink r:id="rId45" w:anchor="P136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11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орган Федерального казначейства возвращает пол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чателю средств федерального бюджета (администратору источников финансир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вания дефицита федерального бюджета) не позднее сроков, установле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ных </w:t>
      </w:r>
      <w:hyperlink r:id="rId46" w:anchor="P6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3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экземпляры Заявки на бумажном носителе с указанием в прилагаемом Протоколе (код по КФД </w:t>
      </w:r>
      <w:hyperlink r:id="rId47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0531805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 причины возврата.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Заявка представлялась в электронном виде, получателю средств местного бюджета не позднее сроков, установленных </w:t>
      </w:r>
      <w:hyperlink r:id="rId48" w:anchor="P63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3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направляется Протокол (код по КФД </w:t>
      </w:r>
      <w:hyperlink r:id="rId49" w:history="1">
        <w:r w:rsidRPr="0059658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0531805</w:t>
        </w:r>
      </w:hyperlink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) в электро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ном виде, в котором указывается причина возврата.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13. При положительном результате проверки в соответствии с требов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59658A">
        <w:rPr>
          <w:rFonts w:ascii="Tahoma" w:eastAsia="Times New Roman" w:hAnsi="Tahoma" w:cs="Tahoma"/>
          <w:color w:val="000000"/>
          <w:kern w:val="0"/>
          <w:lang w:eastAsia="ru-RU" w:bidi="ar-SA"/>
        </w:rPr>
        <w:t>ниями, установленными настоящим Порядком, Заявка принимается к исполнению.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spacing w:before="50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7" name="Рисунок 10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58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51" w:history="1">
        <w:r w:rsidRPr="0059658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утверждении порядка санкционирования оплаты денежных обязательств получателей средств бюджета </w:t>
        </w:r>
      </w:hyperlink>
      <w:r w:rsidRPr="0059658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9658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13.11.2018 10:01. Последнее изменение: 13.11.2018 10:01.</w:t>
      </w:r>
    </w:p>
    <w:p w:rsidR="0059658A" w:rsidRPr="0059658A" w:rsidRDefault="0059658A" w:rsidP="0059658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9658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1143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9658A" w:rsidRPr="0059658A" w:rsidTr="0059658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9658A" w:rsidRPr="0059658A" w:rsidRDefault="0059658A" w:rsidP="0059658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52" w:history="1">
              <w:r w:rsidRPr="0059658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9658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9658A" w:rsidRPr="0059658A" w:rsidRDefault="0059658A" w:rsidP="0059658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9658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9658A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53" w:history="1">
              <w:r w:rsidRPr="0059658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9658A" w:rsidRDefault="00296A66" w:rsidP="0059658A"/>
    <w:sectPr w:rsidR="00296A66" w:rsidRPr="0059658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A9" w:rsidRDefault="00D546A9" w:rsidP="00296A66">
      <w:r>
        <w:separator/>
      </w:r>
    </w:p>
  </w:endnote>
  <w:endnote w:type="continuationSeparator" w:id="0">
    <w:p w:rsidR="00D546A9" w:rsidRDefault="00D546A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A9" w:rsidRDefault="00D546A9" w:rsidP="00296A66">
      <w:r w:rsidRPr="00296A66">
        <w:rPr>
          <w:color w:val="000000"/>
        </w:rPr>
        <w:separator/>
      </w:r>
    </w:p>
  </w:footnote>
  <w:footnote w:type="continuationSeparator" w:id="0">
    <w:p w:rsidR="00D546A9" w:rsidRDefault="00D546A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9BE3F59"/>
    <w:multiLevelType w:val="multilevel"/>
    <w:tmpl w:val="DC2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13F19"/>
    <w:rsid w:val="00425FF5"/>
    <w:rsid w:val="004305AA"/>
    <w:rsid w:val="0045470B"/>
    <w:rsid w:val="00467304"/>
    <w:rsid w:val="00496F7A"/>
    <w:rsid w:val="004C0230"/>
    <w:rsid w:val="00543742"/>
    <w:rsid w:val="0059658A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46A9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9543;fld=134;dst=100049" TargetMode="External"/><Relationship Id="rId18" Type="http://schemas.openxmlformats.org/officeDocument/2006/relationships/hyperlink" Target="consultantplus://offline/ref=DE0D459DE155C9BA94B04197084E123B5BD72C8BB497C51D13C2E3B05BCB389DE446DDBAA2D5P8H" TargetMode="External"/><Relationship Id="rId26" Type="http://schemas.openxmlformats.org/officeDocument/2006/relationships/hyperlink" Target="consultantplus://offline/main?base=LAW;n=107396;fld=134;dst=101673" TargetMode="External"/><Relationship Id="rId39" Type="http://schemas.openxmlformats.org/officeDocument/2006/relationships/hyperlink" Target="http://vishereut.rkursk.ru/index.php?mun_obr=270&amp;sub_menus_id=31700&amp;print=1&amp;id_mat=244720" TargetMode="External"/><Relationship Id="rId21" Type="http://schemas.openxmlformats.org/officeDocument/2006/relationships/hyperlink" Target="consultantplus://offline/ref=DE0D459DE155C9BA94B04197084E123B5BD72C8BB497C51D13C2E3B05BCB389DE446DDBAA2D5P8H" TargetMode="External"/><Relationship Id="rId34" Type="http://schemas.openxmlformats.org/officeDocument/2006/relationships/hyperlink" Target="consultantplus://offline/main?base=LAW;n=119543;fld=134;dst=100033" TargetMode="External"/><Relationship Id="rId42" Type="http://schemas.openxmlformats.org/officeDocument/2006/relationships/hyperlink" Target="http://vishereut.rkursk.ru/index.php?mun_obr=270&amp;sub_menus_id=31700&amp;print=1&amp;id_mat=244720" TargetMode="External"/><Relationship Id="rId47" Type="http://schemas.openxmlformats.org/officeDocument/2006/relationships/hyperlink" Target="consultantplus://offline/ref=DE0D459DE155C9BA94B04197084E123B5BD72C8BB497C51D13C2E3B05BCB389DE446DDB3A45DA5A8DAPBH" TargetMode="External"/><Relationship Id="rId50" Type="http://schemas.openxmlformats.org/officeDocument/2006/relationships/image" Target="media/image1.gif"/><Relationship Id="rId55" Type="http://schemas.openxmlformats.org/officeDocument/2006/relationships/theme" Target="theme/theme1.xml"/><Relationship Id="rId7" Type="http://schemas.openxmlformats.org/officeDocument/2006/relationships/hyperlink" Target="http://vishereut.rkursk.ru/index.php?mun_obr=270&amp;sub_menus_id=31700&amp;print=1&amp;id_mat=244720" TargetMode="External"/><Relationship Id="rId12" Type="http://schemas.openxmlformats.org/officeDocument/2006/relationships/hyperlink" Target="consultantplus://offline/main?base=LAW;n=119543;fld=134;dst=100038" TargetMode="External"/><Relationship Id="rId17" Type="http://schemas.openxmlformats.org/officeDocument/2006/relationships/hyperlink" Target="consultantplus://offline/ref=DE0D459DE155C9BA94B04197084E123B5ADE2E85B693C51D13C2E3B05BDCPBH" TargetMode="External"/><Relationship Id="rId25" Type="http://schemas.openxmlformats.org/officeDocument/2006/relationships/hyperlink" Target="consultantplus://offline/ref=DE0D459DE155C9BA94B04197084E123B5BD72C8BB497C51D13C2E3B05BCB389DE446DDB5A1D5PFH" TargetMode="External"/><Relationship Id="rId33" Type="http://schemas.openxmlformats.org/officeDocument/2006/relationships/hyperlink" Target="consultantplus://offline/main?base=LAW;n=119543;fld=134;dst=100049" TargetMode="External"/><Relationship Id="rId38" Type="http://schemas.openxmlformats.org/officeDocument/2006/relationships/hyperlink" Target="http://vishereut.rkursk.ru/index.php?mun_obr=270&amp;sub_menus_id=31700&amp;print=1&amp;id_mat=244720" TargetMode="External"/><Relationship Id="rId46" Type="http://schemas.openxmlformats.org/officeDocument/2006/relationships/hyperlink" Target="http://vishereut.rkursk.ru/index.php?mun_obr=270&amp;sub_menus_id=31700&amp;print=1&amp;id_mat=24472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9543;fld=134;dst=100082" TargetMode="External"/><Relationship Id="rId20" Type="http://schemas.openxmlformats.org/officeDocument/2006/relationships/hyperlink" Target="consultantplus://offline/ref=DE0D459DE155C9BA94B04197084E123B5BD72C8BB497C51D13C2E3B05BCB389DE446DDBAA2D5P8H" TargetMode="External"/><Relationship Id="rId29" Type="http://schemas.openxmlformats.org/officeDocument/2006/relationships/hyperlink" Target="consultantplus://offline/main?base=LAW;n=119543;fld=134;dst=100033" TargetMode="External"/><Relationship Id="rId41" Type="http://schemas.openxmlformats.org/officeDocument/2006/relationships/hyperlink" Target="http://vishereut.rkursk.ru/index.php?mun_obr=270&amp;sub_menus_id=31700&amp;print=1&amp;id_mat=24472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9543;fld=134;dst=100018" TargetMode="External"/><Relationship Id="rId24" Type="http://schemas.openxmlformats.org/officeDocument/2006/relationships/hyperlink" Target="consultantplus://offline/ref=DE0D459DE155C9BA94B04197084E123B5BD62B86B192C51D13C2E3B05BCB389DE446DDB1A3D5PEH" TargetMode="External"/><Relationship Id="rId32" Type="http://schemas.openxmlformats.org/officeDocument/2006/relationships/hyperlink" Target="consultantplus://offline/main?base=LAW;n=119543;fld=134;dst=100035" TargetMode="External"/><Relationship Id="rId37" Type="http://schemas.openxmlformats.org/officeDocument/2006/relationships/hyperlink" Target="http://vishereut.rkursk.ru/index.php?mun_obr=270&amp;sub_menus_id=31700&amp;print=1&amp;id_mat=244720" TargetMode="External"/><Relationship Id="rId40" Type="http://schemas.openxmlformats.org/officeDocument/2006/relationships/hyperlink" Target="http://vishereut.rkursk.ru/index.php?mun_obr=270&amp;sub_menus_id=31700&amp;print=1&amp;id_mat=244720" TargetMode="External"/><Relationship Id="rId45" Type="http://schemas.openxmlformats.org/officeDocument/2006/relationships/hyperlink" Target="http://vishereut.rkursk.ru/index.php?mun_obr=270&amp;sub_menus_id=31700&amp;print=1&amp;id_mat=244720" TargetMode="External"/><Relationship Id="rId53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9543;fld=134;dst=100055" TargetMode="External"/><Relationship Id="rId23" Type="http://schemas.openxmlformats.org/officeDocument/2006/relationships/hyperlink" Target="consultantplus://offline/ref=DE0D459DE155C9BA94B04197084E123B5BD62B86B192C51D13C2E3B05BCB389DE446DDB1A3D5PDH" TargetMode="External"/><Relationship Id="rId28" Type="http://schemas.openxmlformats.org/officeDocument/2006/relationships/hyperlink" Target="consultantplus://offline/main?base=LAW;n=119543;fld=134;dst=100033" TargetMode="External"/><Relationship Id="rId36" Type="http://schemas.openxmlformats.org/officeDocument/2006/relationships/hyperlink" Target="consultantplus://offline/main?base=LAW;n=117484;fld=134;dst=107045" TargetMode="External"/><Relationship Id="rId49" Type="http://schemas.openxmlformats.org/officeDocument/2006/relationships/hyperlink" Target="consultantplus://offline/ref=DE0D459DE155C9BA94B04197084E123B5BD72C8BB497C51D13C2E3B05BCB389DE446DDB3A45DA5A8DAPBH" TargetMode="External"/><Relationship Id="rId10" Type="http://schemas.openxmlformats.org/officeDocument/2006/relationships/hyperlink" Target="consultantplus://offline/main?base=LAW;n=107396;fld=134;dst=101673" TargetMode="External"/><Relationship Id="rId19" Type="http://schemas.openxmlformats.org/officeDocument/2006/relationships/hyperlink" Target="consultantplus://offline/ref=DE0D459DE155C9BA94B04197084E123B5BD72C8BB497C51D13C2E3B05BCB389DE446DDBAA2D5P8H" TargetMode="External"/><Relationship Id="rId31" Type="http://schemas.openxmlformats.org/officeDocument/2006/relationships/hyperlink" Target="consultantplus://offline/main?base=LAW;n=119543;fld=134;dst=100033" TargetMode="External"/><Relationship Id="rId44" Type="http://schemas.openxmlformats.org/officeDocument/2006/relationships/hyperlink" Target="http://vishereut.rkursk.ru/index.php?mun_obr=270&amp;sub_menus_id=31700&amp;print=1&amp;id_mat=244720" TargetMode="External"/><Relationship Id="rId52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81;fld=134;dst=2612" TargetMode="External"/><Relationship Id="rId14" Type="http://schemas.openxmlformats.org/officeDocument/2006/relationships/hyperlink" Target="consultantplus://offline/main?base=LAW;n=119543;fld=134;dst=100035" TargetMode="External"/><Relationship Id="rId22" Type="http://schemas.openxmlformats.org/officeDocument/2006/relationships/hyperlink" Target="consultantplus://offline/ref=DE0D459DE155C9BA94B04197084E123B5BDF2884B597C51D13C2E3B05BCB389DE446DDB3A45CA2ACDAP9H" TargetMode="External"/><Relationship Id="rId27" Type="http://schemas.openxmlformats.org/officeDocument/2006/relationships/hyperlink" Target="consultantplus://offline/ref=DE0D459DE155C9BA94B04197084E123B5BD62B86B192C51D13C2E3B05BCB389DE446DDB1ACD5PFH" TargetMode="External"/><Relationship Id="rId30" Type="http://schemas.openxmlformats.org/officeDocument/2006/relationships/hyperlink" Target="consultantplus://offline/main?base=LAW;n=119543;fld=134;dst=100033" TargetMode="External"/><Relationship Id="rId35" Type="http://schemas.openxmlformats.org/officeDocument/2006/relationships/hyperlink" Target="consultantplus://offline/main?base=LAW;n=119543;fld=134;dst=100038" TargetMode="External"/><Relationship Id="rId43" Type="http://schemas.openxmlformats.org/officeDocument/2006/relationships/hyperlink" Target="http://vishereut.rkursk.ru/index.php?mun_obr=270&amp;sub_menus_id=31700&amp;print=1&amp;id_mat=244720" TargetMode="External"/><Relationship Id="rId48" Type="http://schemas.openxmlformats.org/officeDocument/2006/relationships/hyperlink" Target="http://vishereut.rkursk.ru/index.php?mun_obr=270&amp;sub_menus_id=31700&amp;print=1&amp;id_mat=244720" TargetMode="External"/><Relationship Id="rId8" Type="http://schemas.openxmlformats.org/officeDocument/2006/relationships/hyperlink" Target="consultantplus://offline/main?base=LAW;n=115681;fld=134;dst=2597" TargetMode="External"/><Relationship Id="rId51" Type="http://schemas.openxmlformats.org/officeDocument/2006/relationships/hyperlink" Target="http://vishereut.rkursk.ru/files/244720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6</Pages>
  <Words>3038</Words>
  <Characters>17318</Characters>
  <Application>Microsoft Office Word</Application>
  <DocSecurity>0</DocSecurity>
  <Lines>144</Lines>
  <Paragraphs>40</Paragraphs>
  <ScaleCrop>false</ScaleCrop>
  <Company/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59</cp:revision>
  <cp:lastPrinted>2019-04-04T14:53:00Z</cp:lastPrinted>
  <dcterms:created xsi:type="dcterms:W3CDTF">2023-09-30T19:07:00Z</dcterms:created>
  <dcterms:modified xsi:type="dcterms:W3CDTF">2023-10-01T06:26:00Z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