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B1" w:rsidRPr="00DB74B1" w:rsidRDefault="00DB74B1" w:rsidP="00C108B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DB74B1">
          <w:rPr>
            <w:rFonts w:ascii="Arial" w:eastAsia="Times New Roman" w:hAnsi="Arial" w:cs="Arial"/>
            <w:color w:val="435D6B"/>
            <w:kern w:val="0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07.08.2018 года № 72-па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righ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Порядка проведения пр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верки инвестиционных проектов на предмет эффективности использования средств м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стного бюджета, направляемых на кап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righ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righ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представления прок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ратуры Медвенского района от 12.07.2018 № 8-406в-2018, Администр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ция Вышнереутчанского сельсовета Медвенского района Курской области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прилагаемые: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Порядок проведения проверки инвестиционных проектов на предмет эффективности использования средств местного бюджета, направляемых на к</w:t>
      </w:r>
      <w:r w:rsidRPr="00DB74B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DB74B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питальные вложения согласно приложению 1;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right="2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2)Методику оценки эффективности использования средств местн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бюджета, направляемых на капитальные вложения согласно прилож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2;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3)Порядок ведения реестра инвестиционных проектов, получи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ших положительное заключение об эффективности использования средств местного бюджета, направляемых на капитальные влож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согласно приложению 3.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Установить, что оценка и выдача заключений об эффективности использования средств местного бюджета, направляемых на капитал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ные вложения, осуществляется в отношении инвестиционных проектов, финансирование которых осуществляется полностью или частично за счет средств местного бюджета после 1 января 2018 г.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Установить, что проверку инвестиционных проектов на предмет эффективности использования средств местного бюджета, направляемых на капитальные вложения в соответствии с методикой, утвержденной н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стоящим постановлением, осуществляет Администрация Вышнереутча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сельсовета Медвенского района.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Контроль за исполнением настоящего постановление оставляю за собой.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5. Настоящее постановление вступает в силу со дня его подписания и подлежит размещению на официальном сайте муниц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 образования «Вышнереутчанский сельсовет» Медвенского ра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и в сети «Интернет».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1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от 07.08.2018 года № 72-па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Порядок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проведения проверки инвестиционных проектов на предмет эффекти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в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ности использования средств местного бюджета, направляемых на кап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и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ind w:firstLine="709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bookmarkStart w:id="0" w:name="i45378"/>
      <w:bookmarkEnd w:id="0"/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I. Общие положения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1. Настоящий Порядок определяет процедуру проведения проверки инв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стиционных проектов, предусматривающих строительство, реконструкцию и те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х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ническое перевооружение объектов капитального строительства и (или) осущес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вление иных инвестиций в основной капитал (далее – инвестиционные проекты), финансируемых полностью или частично за счет средств местного бюджета, на предмет эффективности использования средств местного бюджета, направляемых на капитальные вложения (далее - проверка).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2. Целью проведения проверки является оценка соответствия инвестицио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ного проекта установленным настоящим Порядком качественным и количестве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ным критериям и предельному (минимальному) значению интегральной оценки эффективности использования средств местного бюджета, направляемых на кап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тальные вложения (далее - интегральная оценка) в целях реализации указанного проекта.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i51233"/>
      <w:bookmarkEnd w:id="1"/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3. Проверка проводится для принятия в установленном нормативно-правовыми актами</w:t>
      </w:r>
      <w:r w:rsidRPr="00DB74B1">
        <w:rPr>
          <w:rFonts w:ascii="Tahoma" w:eastAsia="Times New Roman" w:hAnsi="Tahoma" w:cs="Tahoma"/>
          <w:color w:val="FF0000"/>
          <w:kern w:val="0"/>
          <w:lang w:eastAsia="ru-RU" w:bidi="ar-SA"/>
        </w:rPr>
        <w:t> 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муниципального образования «Амосовский сельсовет» Медве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 Курской области порядке решения о предоставлении средств местн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го бюджета: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а) для осуществления бюджетных инвестиций в объекты капитального строительства муниципальной собственности, по которым: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тации) или приобретение прав на использование типовой проектной документ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цию, в том числе с элементами реставрации, и техническое перевооружение ос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ществляется с использованием средств местного бюджета;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проектная документация на строительство, реконструкцию и техническое перевооружение, в том числе с элементами реставрации, разработана и утве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ждена застройщиком (заказчиком) или будет разработана без использования средств местного бюджета;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документация на строительство, реконструкцию, в том числе с элементами ре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таврации, и техническое перевооружение которых подлежит разработке (разраб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тана) без использования средств местного бюджета, а также на приобретение объектов недвижимого имущества в собственность указанных организаций.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272" w:lineRule="atLeast"/>
        <w:ind w:left="11" w:right="6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в) в виде субсидий муниципальным бюджетным учреждениям, муниципал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ным автономным учреждениям и муниципальным унитарным предприятиям на осуществление капитальных вложений в объекты капитального строительства м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собственности сельского поселения, по которым: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6" w:right="6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подготовка (корректировка) проектной документации, проведение инж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нерных изысканий, выполняемых для подготовки такой проектной документации, или приобретение прав на использование типовой проектной документации, 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формация о которой включена в реестр типовой проектной документации (в 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ношении жилых и административных зданий, объектов социально-культурного и коммунально-бытового назначения), на строительство, реконструкцию, в том чи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ле с элементами реставрации, техническое перевооружение осуществляется с 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пользованием средств муниципального бюджета;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6" w:firstLine="7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разработана, утвержд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на застройщиком (заказчиком) или будет разработана без использования средств муниципального бюджета;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11" w:right="6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г) в виде субсидий муниципальным бюджетным учреждениям, муниципал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ным автономным учреждениям и муниципальным унитарным предприятиям на осуществление капитальных вложений на приобретение объектов недвижимого имущества в муниципальную собственность сельского поселения;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6" w:firstLine="7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д) 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реконструкцию, в том числе с элементами ре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таврации, и техническое перевооружение которых подлежит разработке (разраб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тана) без использования средств местного бюджета, а также на приобретение объектов недвижимого имущества в собственность указанных организаций.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4. Проверка осуществляется в отношении инвестиционных проектов, ук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занных в пункте 1 настоящего Порядка, в случае, если их </w:t>
      </w:r>
      <w:hyperlink r:id="rId8" w:history="1">
        <w:r w:rsidRPr="00DB74B1">
          <w:rPr>
            <w:rFonts w:ascii="Tahoma" w:eastAsia="Times New Roman" w:hAnsi="Tahoma" w:cs="Tahoma"/>
            <w:color w:val="33A6E3"/>
            <w:kern w:val="0"/>
            <w:u w:val="single"/>
            <w:lang w:eastAsia="ru-RU" w:bidi="ar-SA"/>
          </w:rPr>
          <w:t>сметная сто</w:t>
        </w:r>
        <w:r w:rsidRPr="00DB74B1">
          <w:rPr>
            <w:rFonts w:ascii="Tahoma" w:eastAsia="Times New Roman" w:hAnsi="Tahoma" w:cs="Tahoma"/>
            <w:color w:val="33A6E3"/>
            <w:kern w:val="0"/>
            <w:u w:val="single"/>
            <w:lang w:eastAsia="ru-RU" w:bidi="ar-SA"/>
          </w:rPr>
          <w:t>и</w:t>
        </w:r>
        <w:r w:rsidRPr="00DB74B1">
          <w:rPr>
            <w:rFonts w:ascii="Tahoma" w:eastAsia="Times New Roman" w:hAnsi="Tahoma" w:cs="Tahoma"/>
            <w:color w:val="33A6E3"/>
            <w:kern w:val="0"/>
            <w:u w:val="single"/>
            <w:lang w:eastAsia="ru-RU" w:bidi="ar-SA"/>
          </w:rPr>
          <w:t>мость</w:t>
        </w:r>
      </w:hyperlink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 превышает 2 млн. рублей, а также по решениям Администрации Вышнер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Медвенского района независимо от их сметной стоимости.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Проверка осуществляется Администрацией Вышнереутчанского сельсовета Медвенского района в соответствии с методикой оценки эффективности использ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вания средств местного бюджета, направляемых на капитальные вложения (далее - методика), утверждаемой Администрацией Вышнереутчанского сельсовета Ме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венского района.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Проверка осуществляется на основании исходных данных для расчета инт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гральной оценки и расчета интегральной оценки, проведенной заказчиком - коо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динатором (муниципальным заказчиком) муниципальных программ для осущест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ления проверки инвестиционных проектов, включенных в проекты указанных 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грамм, и предполагаемым главным распорядителем для осуществления проверки инвестиционных проектов, не включенных в муниципальные программы (далее - заявители), в соответствии с методикой.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Интегральная оценка проводится в отношении инвестиционных проектов, указанных в пункте 1 настоящего Порядка, независимо от их сметной стоимости. Результаты интегральной оценки, проведенной заявителем, и исходные данные для ее проведения представляются в Администрацию Вышнереутчанского сельс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5. Плата за проведение проверки не взимается.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6. Администрация Вышнереутчанского сельсовета Медвенского района 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дет в установленном ею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ind w:firstLine="709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bookmarkStart w:id="2" w:name="i63350"/>
      <w:bookmarkEnd w:id="2"/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II. Критерии оценки эффективности использования средств мес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т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ного бюджета, направляемых на капитальные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i74785"/>
      <w:bookmarkEnd w:id="3"/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7. Проверка осуществляется на основе следующих качественных критериев оценки эффективности использования средств местного бюджета, направляемых на капитальные вложения (далее - качественные критерии):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а) наличие четко сформулированной цели инвестиционного проекта с опр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делением количественного показателя (показателей) результатов его осуществл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ния;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б) соответствие цели инвестиционного проекта приоритетам и целям, опр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деленным в прогнозах, стратегии и программе социально-экономического разв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тия муниципального образования «Амосовский сельсовет» Медвенского района Курской области;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в) комплексный подход к реализации конкретной проблемы в рамках инв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стиционного проекта во взаимосвязи с программными мероприятиями, реализу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мыми в рамках муниципальных программ за счет средств федерального бюджета, областного бюджета, местного бюджета;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г) необходимость строительства, реконструкции, в том числе с элементами реставрации, и технического перевооружения объекта капитального строительс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ва, создаваемого в рамках инвестиционного проекта, в связи с осуществлением соответствующими органами государственной власти Курской области и органом местного самоуправления муниципального образования полномочий, отнесенных к предмету их ведения;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д) отсутствие в достаточном объеме замещающей продукции (работ и 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луг), производимой иными организациями;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е) обоснование необходимости реализации инвестиционного проекта с 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влечением средств местного бюджета;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ж) наличие муниципальных программ, реализуемых за счет средств бюдж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 муниципального образования, предусматривающего строительство, реконс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рукцию, в том числе с элементами реставрации, техническое перевооружение объектов капитального строительства муниципальной собственности, реализуемых в рамках инвестиционных проектов;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з) целесообразность использования при реализации инвестиционного 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екта дорогостоящих строительных материалов, художественных изделий для 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делки интерьеров и фасада, машин и оборудования;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и) наличие положительного заключения государственной экспертизы 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ектной документации и результатов инженерных изысканий в отношении объектов капитального строительства, указанных в абзаце третьем подпункта "а", подпун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те "б" </w:t>
      </w:r>
      <w:hyperlink r:id="rId9" w:anchor="i51233" w:history="1">
        <w:r w:rsidRPr="00DB74B1">
          <w:rPr>
            <w:rFonts w:ascii="Tahoma" w:eastAsia="Times New Roman" w:hAnsi="Tahoma" w:cs="Tahoma"/>
            <w:color w:val="33A6E3"/>
            <w:kern w:val="0"/>
            <w:u w:val="single"/>
            <w:lang w:eastAsia="ru-RU" w:bidi="ar-SA"/>
          </w:rPr>
          <w:t>пункта 3</w:t>
        </w:r>
      </w:hyperlink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за исключением объектов капитального строительства, в отношении которых в установленном законодательством Росси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к) обоснование невозможности или нецелесообразности применения тип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вой проектной документации, разработанной для аналогичного объекта капитал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абзаце втором подпункта "а" пункта 3 настоящего Порядка.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i82896"/>
      <w:bookmarkEnd w:id="4"/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8. Инвестиционные проекты, соответствующие качественным критериям, подлежат дальнейшей проверке на основе следующих количественных критериев оценки эффективности использования средств местного бюджета, направляемых на капитальные вложения (далее - количественные критерии):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а) значения количественных показателей (показателя) результатов реал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зации инвестиционного проекта;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б) отношение сметной стоимости инвестиционного проекта к значениям 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личественных показателей (показателя) результатов реализации инвестиционного проекта;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в) наличие потребителей продукции (услуг), создаваемой в результате ре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лизации инвестиционного проекта, в количестве, достаточном для обеспечения проектируемого (нормативного) уровня использования проектной мощности об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екта капитального строительства;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г) отношение проектной мощности создаваемого (реконструируемого) об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екта капитального строительства к мощности, необходимой для производства продукции (услуг) в объеме, предусмотренном для обеспечения муниципальных нужд;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д) обеспечение планируемого объекта капитального строительства инж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нерной и транспортной инфраструктурой в объемах, достаточных для реализации инвестиционного проекта.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5" w:name="i92684"/>
      <w:bookmarkEnd w:id="5"/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9.Проверка по качественному критерию, предусмотренному подпунктом "з" пункта 7 настоящего Порядка, в отношении объектов капитального строител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ства осуществляется путем сравнения инвестиционных проектов с проектами-аналогами.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Для проведения указанной проверки предполагаемый главный распоряд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тель средств местного бюджета (далее - главный распорядитель) представляет документально подтвержденные сведения о проектах-аналогах, реализуемых (или реализованных) в Российской Федерации по месту расположения земельного уч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стка, на котором будет расположен (располагается) планируемый объект кап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тального строительства, или (в случае отсутствия проектов-аналогов, реализу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мых на территории Российской Федерации) в иностранном государстве. При выб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ре проекта-аналога предполагаемый главный распорядитель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10. Проверка по количественному критерию, предусмотренному подпунктом "б" пункта 8 настоящего Порядка, объектов капитального строительства осущес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вляется путем сравнения стоимости инвестиционного проекта с соответствующей сметной нормой, определяющей потребность в финансовых ресурсах, необход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мых для создания единицы мощности строительной продукции (укрупненный но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матив цены строительства), включенной в установленном порядке в федеральный реестр сметных нормативов, а в случае ее отсутствия - путем сравнения с прое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тами-аналогами, выбор которых осуществляется в порядке, предусмотренном 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зацем вторым пункта 9 настоящего Порядка.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i106169"/>
      <w:bookmarkEnd w:id="6"/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11. Инвестиционные проекты, прошедшие проверку на основе качественных и количественных критериев, подлежат дальнейшей проверке на основе инт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гральной оценки, которая определяется методикой.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ind w:firstLine="709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III. Порядок проведения проверки инвестиционных проектов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7" w:name="i116559"/>
      <w:bookmarkEnd w:id="7"/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12. Заявители представляют в Администрацию Вышнереутчанского сельс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 подписанные руководителем заявителя (уполномоче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ным им на подписание должностным лицом) и заверенные печатью следующие документы: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а) заявление на проведение проверки по форме в соответствии с прилож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нием № 1 к настоящему Порядку;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б) паспорт инвестиционного проекта, заполненный по форме в соответствии с приложением № 2 к настоящему Порядку;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в) обоснование экономической целесообразности, объема и сроков осущес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вления капитальных вложений в соответствии с пунктом 13 настоящего Порядка;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г) задание на проектирование в соответствии с пунктом 14 настоящего 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рядка, согласованное с субъектом бюджетного планирования;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д) копии правоустанавливающих документов на земельный участок, а в сл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чае их отсутствия - копия решения о предварительном согласовании места разм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щения объекта капитального строительства;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е) копию разрешения на строительство;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ж) копию положительного заключения государственной экспертизы проек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ством Российской Федерации;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з) копию положительного заключения о достоверности сметной стоимости инвестиционного проекта;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з.1) 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(по проектам, по которым разработана проектная документация в отн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шении объекта капитального строительства) или положительного заключения о проведении первого этапа публичного технологического и ценового аудита кру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ного инвестиционного проекта с государственным участием (по проектам, вкл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чающим разработку проектной документации);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и) документальное подтверждение каждого участника реализации инвест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ционного проекта об осуществлении финансирования (софинансирования) этого проекта и намечаемом размере финансирования (софинансирования);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к) копию положительного заключения об эффективности использования средств местного бюджета, направляемых на реализацию инвестиционных прое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тов в целях создания объектов капитального строительства муниципальной собс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венности, выданного в соответствии с муниципальными правовыми актами, в сл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чае, если предполагается софинансирование создания таких объектов за счет средств местного бюджета;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л) исходные данные для расчета интегральной оценки, включая количес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венные показатели (показатель) планируемых результатов реализации инвестиц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онного проекта, расчет интегральной оценки, проведенный заявителем в соотве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ствии с методикой;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12.1. Документы, указанные в подпунктах "д" - "з" пункта 12 настоящего Порядка, не предоставляются в отношении инвестиционных проектов, по которым подготавливается решение либо о предоставлении средств областного бюджета на подготовку проектной документации и проведение инженерных изысканий, 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полняемых для подготовки такой проектной документации, либо о предоставлении средств областного бюджета на условиях софинансирования на реализацию инв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стиционных проектов, проектная документация по которым будет разработана без использования средств областного бюджета.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Документы, указанные в подпунктах "г" - "з.1" пункта 12 настоящего Поря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ка, не предоставляются в отношении инвестиционных проектов, по которым пл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нируется приобретение объектов недвижимого имущества.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8" w:name="i128140"/>
      <w:bookmarkStart w:id="9" w:name="i138040"/>
      <w:bookmarkEnd w:id="8"/>
      <w:bookmarkEnd w:id="9"/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13. Обоснование экономической целесообразности, объема и сроков осущ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ствления капитальных вложений включает в себя: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а) наименование и тип (инфраструктурный, инновационный и другие) инв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стиционного проекта;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б) цель и задачи инвестиционного проекта;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в) краткое описание инвестиционного проекта, включая предварительные расчеты объемов капитальных вложений, а также обоснование выбора на вар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антной основе основных технико-экономических характеристик объекта капитал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ного строительства, определенных с учетом планируемых к применению технол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г) источники и объемы финансового обеспечения инвестиционного проекта по годам его реализации;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д) срок подготовки и реализации инвестиционного проекта;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е) 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ной документации;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го (нормативного) уровня использования проектной мощности объекта капитал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ного строительства;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з) обоснование планируемого обеспечения создаваемого (реконструируем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го) объекта капитального строительства инженерной и транспортной инфрастру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турой в объемах, достаточных для реализации инвестиционного проекта;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28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eastAsia="Times New Roman" w:cs="Times New Roman"/>
          <w:color w:val="000000"/>
          <w:kern w:val="0"/>
          <w:lang w:eastAsia="ru-RU" w:bidi="ar-SA"/>
        </w:rPr>
        <w:t>и) обоснование использования при реализации инвестиционного проекта дор</w:t>
      </w:r>
      <w:r w:rsidRPr="00DB74B1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B74B1">
        <w:rPr>
          <w:rFonts w:eastAsia="Times New Roman" w:cs="Times New Roman"/>
          <w:color w:val="000000"/>
          <w:kern w:val="0"/>
          <w:lang w:eastAsia="ru-RU" w:bidi="ar-SA"/>
        </w:rPr>
        <w:t>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0" w:name="i141443"/>
      <w:bookmarkEnd w:id="10"/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14. Задание на проектирование объекта капитального строительства вкл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чает в себя: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б) 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в) возможность подготовки проектной документации применительно к 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дельным этапам строительства;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г) срок и этапы строительства;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д) технические условия для подключения к сетям инженерно-технического обеспечения, а также основные требования технической эксплуатации и технич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ского обслуживания;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ж) перечень технологического оборудования, предназначенного для созд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ния объекта капитального строительства, с указанием типа, марки, производит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лей и других данных - по укрупненной номенклатуре;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з) дополнительные данные (требования к защитным сооружениям, прочие условия).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15. Основаниями для отказа в принятии документов для проведения 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верки являются: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а) непредставление полного комплекта документов, предусмотренных 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стоящим Порядком;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б) несоответствие паспорта инвестиционного проекта требованиям к его 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держанию и заполнению;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в) несоответствие числового значения интегральной оценки, рассчитанного заявителем, требованиям методики.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16. В случае если недостатки в представленных документах можно устр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нить без отказа в их принятии, заявитель имеет право в срок, не превышающий 30 дней, устранить такие недостатки.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17. Проведение проверки начинается после представления заявителем 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кументов, предусмотренных пункта 12 настоящего Порядка, и завершается 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правлением (вручением) заявителю заключения об эффективности использования средств местного бюджета, направляемых на реализацию инвестиционного прое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18. Проверка инвестиционного проекта, не соответствующего качественным критериям, на соответствие его количественным критериям и проверка правил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ности расчета заявителем интегральной оценки этого проекта не проводятся.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19. Срок проведения проверки, подготовки и выдачи заключения не должен превышать 3 месяцев.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ind w:firstLine="709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bookmarkStart w:id="11" w:name="i158331"/>
      <w:bookmarkEnd w:id="11"/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IV. Выдача заключения об эффективности инвестиционного прое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к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та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20. Результатом проверки является заключение Администрации Вышнереу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Медвенского района по форме в соответствии с приложением № 3 к настоящему Порядку,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го бюджета, направляемых на капитальные вложения.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21. Положительное заключение является обязательным документом, нео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ходимым для принятия решения о предоставлении средств местного бюджета на реализацию этого инвестиционного проекта за счет средств местного бюджета.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тельства, строительство, реконструкция, в том числе с элементами реставрации, техническое перевооружение которого осуществляется в соответствии с этим 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вестиционным проектом, или изменились показатели, предусмотренные подпун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тами "а" - "в" пункта 8 настоящего Порядка, то в отношении таких проектов 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водится повторная проверка в соответствии с настоящим Порядком.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22. 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ходимости доработки документации с указанием конкретных недостатков.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Отрицательное заключение, полученное в соответствии с абзацем вторым пункта 21 настоящего Порядка, должно содержать предложение об отмене ранее принятого решения о дальнейшем предоставлении средств из местного бюджета на реализацию инвестиционного проекта.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23. В случае получения отрицательного заключения заявитель вправе пре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ставить документы на повторную проверку при условии их доработки с учетом з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мечаний и предложений, изложенных в заключении.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24. Заключение подписывается главой Вышнереутчанского сельсовета Ме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венского района.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1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проведения проверки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инвестиционных проектов на предмет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эффективности использования средств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местного бюджета, направляемых на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капитальные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-125"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-125"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-125"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-125"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Главе Вышнереутчанского сельсовета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-125"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-125"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left="6027"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left="6027"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ЗАЯВЛЕНИЕ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left="1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 проведение проверки инвестиционного проекта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Прошу провести проверку инвестиционного проекта _____________________________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(титульное название объекта)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на предмет соответствия установленным критериям эффективности.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 прилагаемых документов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…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« ____ » ___________ 20 __ г.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Заявитель _____________ ______________________________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(подпись) (расшифровка подписи)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М.П.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2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проведения проверки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инвестиционных проектов на предмет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эффективности использования средств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местного бюджета, направляемых на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капитальные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Паспорт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инвестиционного проекта, представляемого для проведения проверки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 предмет эффективности использования средств местного бюджета,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направляемых на капитальные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1. Наименование инвестиционного прое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2. Цель инвестиционного проекта 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3. Срок реализации инвестиционного проекта 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4.Форма реализации инвестиционного проекта (строительство, реконстру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ция объекта капитального строительства, иные инвестиции в основной капитал) 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5. Сведения о предполагаемом застройщике или заказчике (заказчике-застройщике):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полное и сокращенное наименование юридического лица 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организационно-правовая форма юридического лица 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юридический адрес 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должность, Ф.И.О. руководителя юридического лица 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6. Участники инвестиционного проекта 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7. Наличие проектной документации по инвестиционному проекту (ссылка на подтверждающий документ) 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8. Наличие положительного заключения государственной экспертизы 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ектной документации и результатов инженерных изысканий (ссылка на документ, копия заключения прилагается) 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9.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ставления паспорта инвестиционного проекта с указанием года ее определения в тыс.рублей (включая НДС/без НДС), а также рассчитанная в ценах соответству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щих лет, в том числе затраты на подготовку проектной документации (указываю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ся в ценах года представления паспорта инвестиционного проекта, а также ра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считанные в ценах соответствующих лет) в тыс. ру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лей__________________________________________________________________________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10. Технологическая структура капитальных вложений: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75"/>
        <w:gridCol w:w="2855"/>
      </w:tblGrid>
      <w:tr w:rsidR="00DB74B1" w:rsidRPr="00DB74B1" w:rsidTr="00DB74B1">
        <w:trPr>
          <w:tblCellSpacing w:w="0" w:type="dxa"/>
        </w:trPr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Сметная стоимость, вкл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чая НДС, в текущих 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нах/ в ценах соответс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вующих лет (тыс. рублей)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Сметная стоимость инвестицио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ного проекта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строительно-монтажные работы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из них дорогостоящие материалы, художественные изделия для 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делки интерьеров и фасада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приобретение машин и оборудов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ния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из них дорогостоящие и (или) 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портные машины и оборудование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прочие затраты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11. Источники и объемы финансирования инвестиционного проекта, тыс.рублей: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69"/>
        <w:gridCol w:w="748"/>
        <w:gridCol w:w="546"/>
        <w:gridCol w:w="517"/>
        <w:gridCol w:w="1169"/>
        <w:gridCol w:w="109"/>
        <w:gridCol w:w="1249"/>
        <w:gridCol w:w="1249"/>
        <w:gridCol w:w="1249"/>
        <w:gridCol w:w="1249"/>
      </w:tblGrid>
      <w:tr w:rsidR="00DB74B1" w:rsidRPr="00DB74B1" w:rsidTr="00DB74B1">
        <w:trPr>
          <w:tblCellSpacing w:w="0" w:type="dxa"/>
        </w:trPr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Годы ре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лизации 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вестицио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ного прое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та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-85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Сметная стоимость инвестиц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онного пр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екта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-85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(в текущих ценах/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-85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 ценах с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ответству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щих лет)</w:t>
            </w:r>
          </w:p>
        </w:tc>
        <w:tc>
          <w:tcPr>
            <w:tcW w:w="12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Источники финансиров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ния инвест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ционного пр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екта</w:t>
            </w:r>
          </w:p>
        </w:tc>
        <w:tc>
          <w:tcPr>
            <w:tcW w:w="53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-108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средства федеральн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го бюджета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-108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(в текущих ценах/ в 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нах соотве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ствующих лет)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-108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средства областного бюджета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-108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(в текущих ценах/ в 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нах соотве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ствующих лет)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-108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средства местного бюджета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-108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(в текущих ценах/ в 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нах соотве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ствующих лет)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-108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собственные средства предпол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гаемого з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стройщика или заказч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ка (заказч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ка-застройщ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ка) (в тек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щих ценах/ в ценах соо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ветству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щих лет)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-108" w:right="-10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другие вн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 xml:space="preserve">бюджетные источники 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финансир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вания (в текущих ценах/ в 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нах соотве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ствующих лет)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Инвестиционный проект - всего,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20 ___ год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20 ___ год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...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из них: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этап I (пусковой комплекс) - всего,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20 ___ год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20 ___ год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...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этап II (пусковой комплекс) - всего,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20 ___ год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20 ___ год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...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этап ____ (пуск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вой комплекс) - всего,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20 ___ год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20 ___ год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...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12. Количественные показатели (показатель) результатов реализации инв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стиционного прое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та_________________________________________________________________________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13. Отношение сметной стоимости объекта капитального строительства к количественным показателям (показателю) результатов реализации инвестицио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ного проекта, тыс. рублей/на единицу результата, в текущих ценах 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Руководитель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_________________________________ ______________ 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(должность) (подпись) (фамилия, имя, отчество)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«____» ___________________ 20____г.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МП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Главный бухгалтер ______________ 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(подпись) (фамилия, имя, отчество)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«____» ______________________ 20____г.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4"/>
        <w:gridCol w:w="2856"/>
      </w:tblGrid>
      <w:tr w:rsidR="00DB74B1" w:rsidRPr="00DB74B1" w:rsidTr="00DB74B1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bookmarkStart w:id="12" w:name="sub_12001"/>
            <w:bookmarkEnd w:id="12"/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 Заполняется по инвестиционным проектам, предусматривающим финансирование подготовки пр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ектной документации за счет средств местного бюджета.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bookmarkStart w:id="13" w:name="sub_12002"/>
            <w:bookmarkEnd w:id="13"/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 В ценах года расчета сметной стоимости, указанного в пункте 10 настоящего паспорта инвестиц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та).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3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проведения проверки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инвестиционных проектов на предмет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эффективности использования средств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местного бюджета, направляемых на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капитальные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Заключение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результатах проверки инвестиционного проекта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 предмет эффективности использования средств местного бюджета,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направляемых на капитальные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инвестиционного проекта 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заявителя 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Реквизиты комплекта документов, представленных заявителем: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регистрационный номер 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дата 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фамилия, имя, отчество и должность подписавшегося лица 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Срок реализации инвестиционного проекта 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Значения количественных показателей (показателя) реализации инвестиц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онного проекта с указанием единиц измерения показателей (показателя)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Сметная стоимость инвестиционного проекта всего в ценах соответству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щих лет (в тыс. рублей с одним знаком после запятой)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2. Оценка эффективности использования средств местного бюджета, 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правляемых на капитальные вложения, по инвестиционному проекту: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на основе качественных критериев, % 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на основе количественных критериев, % 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в том числе по отдельным критериям, % 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значение интегральной оценки эффективности, % 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3. Заключение о результатах проверки инвестиционного проекта на предмет эффективности использования средств местного бюджета, направляемых на кап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тальные вложения: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________________ 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(подпись) (фамилия, имя, отчество)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«_______» __________________ 20____г.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МП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2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от 07.08.2018 года № 72-па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МЕТОДИКА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оценки эффективности использования средств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местного бюджета, направляемых на капитальные вложения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Общие положения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1.1.Методика оценки эффективности использования средств местного бю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жета, направляемых на строительство, реконструкцию и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техническое перевоор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жение объектов капитального строительства (далее - Методика) предназначена для оценки эффективности использования средств местного бюджета, направля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мых на капитальные вложения по инвестиционным проектам, финансирование 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торых планируется осуществлять полностью или частично за счет средств местн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го бюджета.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1.2.Оценка эффективности использования средств местного бюджета, 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правляемых на капитальные вложения, осуществляется на основе интегральной оценки, а также оценки эффективности на основе качественных и количественных критериев путем определения балла оценки по каждому из указанных критериев.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1.3.Методика устанавливает общие требования к расчету интеграл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ной оценки эффективности, а также расчету оценки эффективности на основе 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чественных и количественных критериев.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Состав, порядок определения баллов оценки качественных кр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териев и оценки эффективности на основе качественных критериев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2.1. Оценка эффективности осуществляется на основе следующих качес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венных критериев: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наличие четко сформулированной цели инвестиционного проекта;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соответствие цели инвестиционного проекта приорит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там и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целям, определенным в стратегии и программе социально-экономического развития Вышнереутчанского сельсовета Медвенского района, долгосрочных и 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домственных муниципальных целевых программах;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необходимость строительства (реконструкции и технического перевоор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жения) объекта капитального строительства, создаваемого в ра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ках инвестиционного проекта, в связи с осуществлением соответствующими гос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дарственными и муниципальными органами полномочий, отнесенных к предмету их ведения;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отсутствие в достаточном объеме замещающей продукции (работ и услуг), производимой иными организациями;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целесообразность использования при реализации инвестиционного прое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 дорогостоящих строительных материалов, художественных изделий для отде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ки интерьеров и фасада, машин и оборудования;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наличие положительного заключения государственной экспертизы проек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ной документации и результатов инженерных изысканий;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наличие долгосрочных муниципальных целевых программ, реализуемых за счет средств бюджета Вышнереутчанского сельсовета Медвенского района, пред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сматривающих строительство, реконструкцию и (или) техническое перевооруж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ние объектов капитального строительства муниципальной собственности, реал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зуемых в рамках инвестиционных проектов.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2.2.Оценка эффективности на основе качественных критериев рассчитыв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ется по следующей формуле:</w:t>
      </w:r>
      <w:r w:rsidRPr="00DB74B1">
        <w:rPr>
          <w:rFonts w:ascii="Tahoma" w:eastAsia="Times New Roman" w:hAnsi="Tahoma" w:cs="Tahoma"/>
          <w:color w:val="000000"/>
          <w:kern w:val="0"/>
          <w:vertAlign w:val="subscript"/>
          <w:lang w:eastAsia="ru-RU" w:bidi="ar-SA"/>
        </w:rPr>
        <w:t>где: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балл оценки </w:t>
      </w:r>
      <w:r w:rsidRPr="00DB74B1">
        <w:rPr>
          <w:rFonts w:ascii="Tahoma" w:eastAsia="Times New Roman" w:hAnsi="Tahoma" w:cs="Tahoma"/>
          <w:color w:val="000000"/>
          <w:kern w:val="0"/>
          <w:lang w:val="en-US" w:eastAsia="ru-RU" w:bidi="ar-SA"/>
        </w:rPr>
        <w:t>i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-ого качественного критерия;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общее число качественных критериев;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 число критериев, не применимых к проверяемому инвестиционному прое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ту.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2.3. Возможные значения баллов оценки по каждому из качественных кр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териев приведены в графе «Допустимые баллы оценки» таблицы 1 приложения № 1 к настоящей Методике.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Требования к определению баллов оценки по каждому из качестве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ных критериев установлены пунктами 1 - 7 таблицы 1 приложения № 1 к насто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щей Методике.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Рекомендуемые показатели по критерию «Наличие четко сформулирова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ной цели инвестиционного проекта с определением количественного показателя (показателей) результатов его осуществления», характеризующие конечные соц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ально-экономические результаты реализации проекта по различным видам де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 и типам проектов, приведены в приложении № 3 к настоящей Метод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ке. Заявители вправе определить иные показатели с учетом специфики инвест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ционного проекта.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Для проведения проверки на соответствие критерию «Целесообра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ность использования при реализации инвестиционного проекта дорогосто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щих строительных материалов, художественных изделий для отделки интерьеров и фасада, машин и оборудования» органы местного самоуправления</w:t>
      </w:r>
      <w:r w:rsidRPr="00DB74B1">
        <w:rPr>
          <w:rFonts w:ascii="Tahoma" w:eastAsia="Times New Roman" w:hAnsi="Tahoma" w:cs="Tahoma"/>
          <w:color w:val="FF0000"/>
          <w:kern w:val="0"/>
          <w:lang w:eastAsia="ru-RU" w:bidi="ar-SA"/>
        </w:rPr>
        <w:t> 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или муниц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пальные бюджетные учреждения руководствуются сведениями по проектам-аналогам, реализуемым (или реализованным) на территории района,</w:t>
      </w:r>
      <w:r w:rsidRPr="00DB74B1">
        <w:rPr>
          <w:rFonts w:ascii="Tahoma" w:eastAsia="Times New Roman" w:hAnsi="Tahoma" w:cs="Tahoma"/>
          <w:color w:val="FF0000"/>
          <w:kern w:val="0"/>
          <w:lang w:eastAsia="ru-RU" w:bidi="ar-SA"/>
        </w:rPr>
        <w:t> 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края или в Российской Федерации, а также в иностранном государстве в случае отсутствия проектов-аналогов, реализуемых на территории Российской Федерации.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 выборе проектов-аналогов должно быть обеспечено максимальное 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ответствие характеристик проектируемого объекта и объектов-аналогов по фун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циональному назначению и (или) по конструктивным и объемно-планировочным решениям. Предлагаемая форма сведений и количественных показателей резул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татов реализации инвестиционного проекта-аналога приведена в приложении № 4 к Методике.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3. Состав, порядок определения баллов оценки, весовых коэффициентов количественных критериев и оценки эффективности на основе количественных критериев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3.1. Оценка эффективности осуществляется на основе следующих количес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венных критериев: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значения количественных показателей (показателя) результатов реализ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ции инвестиционного проекта;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отношение сметной стоимости инвестиционного проекта к значениям 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личественных показателей (показателя) результатов реализации инвестиционного проекта;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наличие потребителей продукции (услуг), создаваемой в результате ре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лизации инвестиционного проекта, в количестве, достаточном для обеспечения проектируемого (нормативного) уровня использования проектной мощности об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екта капитального строительства;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отношение проектной мощности создаваемого (реконструируемого) объе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 капитального строительства к мощности, необходимой для производства 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дукции (услуг) в объеме, предусмотренном для муниципальных нужд;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обеспечение планируемого объекта капитального строительства инжене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ной и транспортной инфраструктурой в объемах, достаточных для реализации 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вестиционного проекта.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3.2.Оценка эффективности на основе количественных критериев рассчит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вается по следующей формуле: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, где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before="50"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vertAlign w:val="subscript"/>
          <w:lang w:eastAsia="ru-RU" w:bidi="ar-SA"/>
        </w:rPr>
        <w:t>где: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балл оценки </w:t>
      </w:r>
      <w:r w:rsidRPr="00DB74B1">
        <w:rPr>
          <w:rFonts w:ascii="Tahoma" w:eastAsia="Times New Roman" w:hAnsi="Tahoma" w:cs="Tahoma"/>
          <w:color w:val="000000"/>
          <w:kern w:val="0"/>
          <w:lang w:val="en-US" w:eastAsia="ru-RU" w:bidi="ar-SA"/>
        </w:rPr>
        <w:t>i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-ого количественного критерия;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весовой коэффициент </w:t>
      </w:r>
      <w:r w:rsidRPr="00DB74B1">
        <w:rPr>
          <w:rFonts w:ascii="Tahoma" w:eastAsia="Times New Roman" w:hAnsi="Tahoma" w:cs="Tahoma"/>
          <w:color w:val="000000"/>
          <w:kern w:val="0"/>
          <w:lang w:val="en-US" w:eastAsia="ru-RU" w:bidi="ar-SA"/>
        </w:rPr>
        <w:t>i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-ого количественного критерия, в процентах;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общее число количественных критериев.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Сумма весовых коэффициентов по всем количественным критериям соста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ляет 100 процентов.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3.3. Требования к определению баллов оценки по каждому из количестве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ных критериев установлены пунктами 1 - 5 таблицы 2 приложения № 1 к насто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щей Методике.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Значения весовых коэффициентов количественных критериев в зависимости от типа инвестиционного проекта приведены в приложении № 2 к настоящей М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тодике.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Возможные значения баллов оценки по каждому из количественных крит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риев приведены в таблице 2 приложения № 1 к настоящей Методике.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 определении баллов по критерию «Обеспечение планируемого объекта капитального строительства инженерной и транспортной инфраструктурой в об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емах, достаточных для реализации инвестиционного проекта» средневзвешенный уровень обеспеченности инженерной и транспортной инфраструктурой рассчит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вается по следующей формуле: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уровень обеспеченности </w:t>
      </w:r>
      <w:r w:rsidRPr="00DB74B1">
        <w:rPr>
          <w:rFonts w:ascii="Tahoma" w:eastAsia="Times New Roman" w:hAnsi="Tahoma" w:cs="Tahoma"/>
          <w:color w:val="000000"/>
          <w:kern w:val="0"/>
          <w:lang w:val="en-US" w:eastAsia="ru-RU" w:bidi="ar-SA"/>
        </w:rPr>
        <w:t>i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-м видом инженерной и транспортной инфр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структуры (энерго-, водо-, теплоснабжение, телефонная связь, объекты тран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портной инфраструктуры), в процентах;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i/>
          <w:iCs/>
          <w:color w:val="000000"/>
          <w:kern w:val="0"/>
          <w:lang w:val="en-US" w:eastAsia="ru-RU" w:bidi="ar-SA"/>
        </w:rPr>
        <w:t>n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 - количество видов необходимой инженерной и транспортной инфрастру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туры.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3.4. Проверка по количественному критерию «отношение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проекта» осуществляется путем сравн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ния стоимости инвестиционного проекта с соответствующей сметной нормой, 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ределяющей потребность в финансовых ресурсах, необходимых для создания ед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ницы мощности строительной продукции (укрупненный норматив цены строител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ства), включенной в установленном порядке в федеральный реестр сметных но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мативов, а в случае ее отсутствия путем сравнения с аналогичными проектами выбор которых осуществляется в порядке, предусмотренном абзацем пятым пун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 2.3. настоящей Методики. При отсутствии аналогичных проектов и (или) укру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ненных нормативов цены строительства, сравнение стоимости инвестиционного проекта на ранних стадиях инвестиционно-строительного процесса производится на основании данных «Справочника стоимостных показателей по отдельным 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дам объектов капитального строительства (объектам-аналогам)».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4. Расчет интегральной оценки эффективности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4.1. Интегральная оценка ()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где: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оценка эффективности на основе качественных критериев;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- оценка эффективности на основе количественных критериев;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0,2 и 0,8 – весовые коэффициенты оценок эффективности на основе качес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венных и количественных критериев соответственно.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4.2.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DB74B1" w:rsidRPr="00DB74B1" w:rsidRDefault="00DB74B1" w:rsidP="00DB74B1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Соответствие или превышение числового значения интегральной оценки 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тановленному предельному значению свидетельствует об эффективности инв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стиционного проекта и целесообразности его финансирования полностью или ча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тично за счет средств местного бюджета.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4961" w:right="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1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4961" w:right="9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Методике оценки эффективн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сти использования средств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4961" w:right="9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муниципального бюджета,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4961" w:right="9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направляемых на капитал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ные 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609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609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278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Расчет интегральной оценки эффективности инвестиционного проекта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278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278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проекта (по паспорту инвестиционн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го проекта)____________________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_______________________________________________________________________________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Форма реализации инвестиционного проекта (новое строительство, реко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струкция, в том числе с элементами реставрации, техническое перевооружение или приобретение объекта недвижимого имущества)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Заявитель 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Тип (назначение) проекта (по приложению 2 к насто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щей Методике) ________________________________________________________________________________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Таблица 1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Оценка соответствия инвестиционного проекта качественным критериям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70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2"/>
        <w:gridCol w:w="293"/>
        <w:gridCol w:w="2530"/>
        <w:gridCol w:w="414"/>
        <w:gridCol w:w="2323"/>
        <w:gridCol w:w="1675"/>
        <w:gridCol w:w="1897"/>
      </w:tblGrid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Критерий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Допустимые баллы оценки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Балл оценки («..») (или "Критерий не применим")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Ссылки на докуме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ные подтверждения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Наличие четко сформулир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ванной цели инвестиционн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 проекта с определением 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личественного показателя (п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казателей) результатов его осуществления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Цель и задачи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екта, количестве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ные показатели 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зультатов реализ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ции проекта в соо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ветствии с паспо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том инвестиционн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 проекта и обо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нованием эконом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ческой целесообра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ности осуществл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 капитальных вложений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Соответствие ц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 инвестиционного проекта приоритетам и ц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лям, определенным в прогнозах и программах 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циально-экономического развития РФ, государственных программах РФ, государственной програ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 вооружения, отраслевых доктринах, концепциях и стратегиях развития на сре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несрочный и долгосрочный периоды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Приводится наим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нование документа, приоритет и цель, которым соответс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вует цель реализ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ции инвестиционн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 проекта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Комплексный подход к реал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зации конкретной проблемы в рамках инвестиционного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екта во взаимосвязи с программными меропри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тиями, реализуемыми в рамках федеральных целевых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грамм, ведомственных целевых программ и соответствующих региональных программ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Для инвестицио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ных прое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тов, включенных в целевые программы, указываются цели, задачи, конкретные програм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ные мероприятия, достижение и реализацию кот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рых обеспечивает осуществление 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вестиционн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 проекта. Для 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вестиционных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ектов, не включенных в целевые программы, указываются рекв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зиты документа о предоставлении бюдже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ных ассигнований на реализ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цию инвестиционного проекта, а та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же реквизиты док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мента, содержащего оценку влияния ре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лизации инвестиц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онного проекта на комплексное ра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витие территорий соответственно РФ, субъектов РФ и 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ниципал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ных образований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4.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Необходимость строительства (реконструкции, в том числе с элементами реставрации, те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нического перевооруж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ния) объекта капитальн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 строительства либо необх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димость приобретения объекта недвижимого имущества, со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даваемого (приобретаемого) в рамках инвестиционн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 проекта, в связи с осуществлением соответствующими государственными и муниципальными органами полномочий, отнесенных к предмету их ведения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 Обоснование 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обходим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сти строительства (реконструкции, в том числе с элеме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тами реставр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ции, технического перевооруж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ния) объекта кап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тального строител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ства либо необх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димость приобрет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 объекта недв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жимого имущества, в связи с осущест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лением соответс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вующ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ми государственными и муниципал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ными органами полномочий, отн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сенных к предм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ту их ведения.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2.Обоснование 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целесообразности или невозможности строительства об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ъ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екта капитального строительства (в случае приобрет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 объекта недв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жимого имущества).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 Обоснование 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бора данн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 объекта недв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жимого имущества (в случае приобр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тения конкретн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 объекта недв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жимого имущества.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4.Подтверждение территориальн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 управления Ф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дерального агентс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 по управлению государстве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ным имуществом отсутствия в ка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 Российской Ф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дерации объе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 недвижимого имущес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ва, пригодного для использования его в целях, для кот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рых он приобрет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ется (в случае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обретения объе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 недвижимого имущества в государственную собстве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ность Российской Федерации).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5.Обоснование 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целесообразности или невозможности получения такого объекта во владение и пользование по договору аренды (в случае приобрет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 объе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 недвижимого имущества в государственную собстве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ность Российской Федерации)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5.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Отсутствие в достаточном об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ъ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еме замещающей продукции (работ и услуг), производ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мой иными организациями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10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Указываются: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объемы, основные характеристики продукции (работ, услуг), не имеющей мировых и отечес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венных аналогов, либо замещаемой импортируемой продукции; объемы производства, 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ные характеристики, наименование и месторасположение производит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ля замещающей от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чественной проду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ции (работ и услуг)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Обоснование необходимости реализации инвестиционного проекта с привлечением средств федерального бюджета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Критерий не применим для объектов капитального стро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тельства, относящихся к государственной собственности субъектов РФ (муниципальной собственности)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 Указывается 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именов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ние федеральной целевой програ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мы, ведомственной целевой програ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мы, в которую пл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нируется вкл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чить инвестиционный проект или рекв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зиты решений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зидента Российской Федерации или нормативных правовых 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тов Правительства Росси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ской Федерации, а также реш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ний главных расп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рядителей средств федерального бюджета по объе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там, не включенным в федеральные цел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вые программы.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 Реквизиты док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ментов (догов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ров, протоколов, соглашений и т.п.), подтверждающих намерения учас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ников инвестицио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ного проекта о его софинансировании с указанием план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руемого объема 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питальных влож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ний со стороны 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ждого участника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7.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Наличие региональных и муниципальных целевых программ, реализуемых за счет средств бюджета субъекта Российской Федерации (мес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ных бюджетов), предусматривающих строительство, реконс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рукцию, в том числе с элеме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тами реставрации, и  (или) техническое перевоор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жение объектов капитального строительства государственной собственности субъектов Ро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сийской Федерации (муниц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пальной собственности) 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 приобретение объектов 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движимого имущества в гос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дарственную собственность субъектов Российской Федер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ции муниципальную собстве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ность), осуществляемых в рамках инвестиционных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ектов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Критерий не применим для объектов капитального стро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тельства (объектов недвиж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мого имущества), не относ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щихся к государственной собственности субъектов Росси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ской Федерации (муниципальной собственности)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34" w:right="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 Указывается 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именов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ние региональной и муниципал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ной целевой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граммы, реализу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мой за счет средств бюджета субъекта Российской Фед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рации (мес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ных бюджетов), дата ее утвержд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34" w:right="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 Реквизиты док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ментов (догов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ров, протоколов, соглашений и т.п.), подтверждающих решение участн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ков проекта о его софинансировании с указан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ем намечаемого объема капитал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ных вложений со стороны кажд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 участника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Целесообразность использов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 при реализации инвест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ционного проекта дорогосто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щих строительных материалов, художественных изделий для отделки интерьеров и фас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да, машин и оборудования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Критерий не применим к 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вестиционным проектам, не использующим дорогосто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щие строительные материалы, художественные изделия для отделки интерьеров и фас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да, машины и оборудование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 Наличие обосн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 невозможности достижения цели и результатов реал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зации проекта без использования дорогосто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щих строительных матери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лов, художественных изделий для 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делки интерьеров и фасада, машин и оборудования.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2. Документально подтвержде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ные данные по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екту-аналогу.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 Обоснование 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обходим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сти приобретения такого объекта 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движимого имущ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ства, строительство которого было ос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ществлено с испол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зованием дорог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стоящих строител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ных материалов, художественных изделий для отделки интерьеров и фасада, машин и оборудования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9.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Наличие положительного 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ключения государственной экспертизы проек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ной документации и результатов инженерных изысканий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 Критерий не применим к инвестиционным проектам, по кот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рым планируется предоставление средств ФБ на подготовку проектной документации 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 проектная документация будет разработана без использования средств федерального бюдж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та. Критерий не применим для случаев приобретения объе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тов недвижимого имущества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34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 Реквизиты пол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жительного закл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чения государс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венной экспертизы проектной докуме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тации и результатов инженерных из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сканий (в случае ее необходимости 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гласно законод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тельству РФ).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34"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 В случае если проведение гос. экспертизы проек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ной документации не требуется: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а) ссылка на соо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ветствующие пун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ты и подпункты статьи 49 Град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строительного 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декса Российской Федерации;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б) документальное подтверждение 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личия согласования задания на разр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ботку проектной документации с субъектом бюдже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ного планирования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10.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Обоснование невозможности или нецелесообразности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менения типовой проектной документации, разработанной для аналогичного объе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 капитального строительс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ва, информация о кот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рой включена в реестр типовой проектной документации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 0 Критерий не применим: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 к инвестиционным проектам в отношении объектов кап. строительства, по которым проектная документация ра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работана (будет разработана) либо права на использов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ние типовой проектной док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ментации приобретены (будут приобретены) без использов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 средств ФБ;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-к инвестиционным проектам, по кот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рым подготавливается решение о предоставлении средств ФБ на приобретение 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прав на использов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ние типовой проектной док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ментации, информация о 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торой включена в 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естр типовой проектной д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кументации, и проведение инженерных изысканий, в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полняемых для подготовки такой проектной документ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ции;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 для случаев приобретения объектов недвижимого им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щества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-108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 Обоснование нец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лесообразности и невозможности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менения типовой проектной докуме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тации.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ind w:left="-108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 Отсутствие в ре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стре типовой проек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ной документации проекта, соответс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вующего характер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стикам проектиру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мого объекта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23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vertAlign w:val="subscript"/>
                <w:lang w:eastAsia="ru-RU" w:bidi="ar-SA"/>
              </w:rPr>
              <w:t>1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=9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5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Оценка эффективности использования средств облас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ного бюджета, направляемых на капитальные влож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ния, на основе качественных критериев,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Таблица 2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83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8"/>
        <w:gridCol w:w="4761"/>
        <w:gridCol w:w="1648"/>
        <w:gridCol w:w="1282"/>
        <w:gridCol w:w="366"/>
        <w:gridCol w:w="1282"/>
        <w:gridCol w:w="2563"/>
        <w:gridCol w:w="2380"/>
      </w:tblGrid>
      <w:tr w:rsidR="00DB74B1" w:rsidRPr="00DB74B1" w:rsidTr="00DB74B1">
        <w:trPr>
          <w:trHeight w:val="123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Оценка соответствия инвестиц</w:t>
            </w: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онного проекта количественным критериям процентов</w:t>
            </w:r>
          </w:p>
        </w:tc>
        <w:tc>
          <w:tcPr>
            <w:tcW w:w="2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27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Критерий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Допустимые ба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лы оценки</w:t>
            </w:r>
          </w:p>
        </w:tc>
        <w:tc>
          <w:tcPr>
            <w:tcW w:w="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Балл оценки ()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Весовой 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эффициент критерия , процентов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Средневзвешенный балл (), процентов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Ссылки на документал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ные подтверждения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количественных показателей, результатов реализации проекта в 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ответствии с паспортом проекта</w:t>
            </w:r>
          </w:p>
        </w:tc>
      </w:tr>
      <w:tr w:rsidR="00DB74B1" w:rsidRPr="00DB74B1" w:rsidTr="00DB74B1">
        <w:trPr>
          <w:trHeight w:val="222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 проекта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0,5;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Основные сведения и те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нико-экономические п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казатели проекта аналога, реализуемого (или реал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зованного) в РА, в случае отсутствия проектов-аналогов, реализуемых на территории, представл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ются сведения о проектах-аналогах, реализуемых (или реализованных) на территории Российской Федерации или в ин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странном государстве</w:t>
            </w:r>
          </w:p>
        </w:tc>
      </w:tr>
      <w:tr w:rsidR="00DB74B1" w:rsidRPr="00DB74B1" w:rsidTr="00DB74B1">
        <w:trPr>
          <w:trHeight w:val="90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Наличие потребителей продукции (услуг), создава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мой в результате реализации инвестиционного прое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та, в количестве, достаточном для обеспечения прое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тируемого (нормативного) уровня использования проектной мощности объекта капитального стро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тельства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0,5;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Обоснование спроса (п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требности) на услуги (продукцию), создава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мые в результате реализ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ции инвестиционного проекта, для обеспечения проектируемого (норм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тивного) уровня испол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зования проектной мо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ности объекта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4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Отношение проектной мощности создаваемого (р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конструируемого) объекта капитального строительс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 к мощности, необходимой для производства пр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дукции (услуг) в объеме, предусмотренном для мун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ципальных нужд муниципального образования «Ам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совский сельсовет» Медвенского района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Приводятся документал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 подтвержденные да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ные о мощности, необх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димой для производства продукции (услуг) в об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ъ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еме, предусмотренном для муниципальных нужд муниципального образ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вания «Амосовский сел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совет» Медвенского ра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она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планируемого объекта капитального строительства инженерной и транспортной инфр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структурой в объемах, достаточных для реализации инвестиционного проекта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0,5;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Обоснование планиру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мого обеспечения созд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ваемого (реконструиру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мого) объекта капитал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ного строительства инж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нерной и транспортной инфраструктурой в объ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мах, достаточных для реализации инвестицио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ного проекта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эффективности использования средств обл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стного бюджета, направляемых на капитальные вл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жения, на основе количественных критериев,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=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74B1" w:rsidRPr="00DB74B1" w:rsidRDefault="00DB74B1" w:rsidP="00DB74B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vanish/>
          <w:color w:val="000000"/>
          <w:kern w:val="0"/>
          <w:sz w:val="12"/>
          <w:szCs w:val="12"/>
          <w:lang w:eastAsia="ru-RU" w:bidi="ar-SA"/>
        </w:rPr>
      </w:pPr>
      <w:bookmarkStart w:id="14" w:name="sub_20003"/>
      <w:bookmarkEnd w:id="14"/>
    </w:p>
    <w:tbl>
      <w:tblPr>
        <w:tblW w:w="6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49"/>
        <w:gridCol w:w="2129"/>
        <w:gridCol w:w="2132"/>
      </w:tblGrid>
      <w:tr w:rsidR="00DB74B1" w:rsidRPr="00DB74B1" w:rsidTr="00DB74B1">
        <w:trPr>
          <w:trHeight w:val="111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Таблица 3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Расчет интеграл</w:t>
            </w: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ной оценки эффе</w:t>
            </w: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тивности инвест</w:t>
            </w: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ционного проекта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18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Показатель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Оценка эффекти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ности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Весовой коэфф</w:t>
            </w: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циент</w:t>
            </w:r>
          </w:p>
        </w:tc>
      </w:tr>
      <w:tr w:rsidR="00DB74B1" w:rsidRPr="00DB74B1" w:rsidTr="00DB74B1">
        <w:trPr>
          <w:trHeight w:val="51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Оценка эффективн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сти на основе качес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венных критериев,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Оценка эффективн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сти на основе кол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чественных критер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ев,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Интегральная оценка эффективности 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пользования средств областного бюджета, направляемых на 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питальные вложения,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=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123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6237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Приложение 2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 w:right="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Методике оценке эффекти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ности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6237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использования средств местного бюдж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та, направляемых на кап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тальные 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6237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6237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Значения весовых коэффициентов количественных критериев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70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4"/>
        <w:gridCol w:w="571"/>
        <w:gridCol w:w="1208"/>
        <w:gridCol w:w="366"/>
        <w:gridCol w:w="822"/>
        <w:gridCol w:w="2609"/>
        <w:gridCol w:w="898"/>
        <w:gridCol w:w="2646"/>
      </w:tblGrid>
      <w:tr w:rsidR="00DB74B1" w:rsidRPr="00DB74B1" w:rsidTr="00DB74B1">
        <w:trPr>
          <w:gridAfter w:val="1"/>
          <w:wAfter w:w="480" w:type="dxa"/>
          <w:tblCellSpacing w:w="0" w:type="dxa"/>
        </w:trPr>
        <w:tc>
          <w:tcPr>
            <w:tcW w:w="285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28" w:right="8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N п\п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Критерий</w:t>
            </w:r>
          </w:p>
        </w:tc>
        <w:tc>
          <w:tcPr>
            <w:tcW w:w="48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10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Строительство, реконструкция, в том числе с элементами реставр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ции, объекта капитального стро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тельства или приобретение объе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та недвижимого имущества: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здравоохран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ния, образования, культуры и спорта; комм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нальной инфраструкт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ры, административных и иных зданий, охр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ны окружающей среды</w:t>
            </w:r>
          </w:p>
        </w:tc>
        <w:tc>
          <w:tcPr>
            <w:tcW w:w="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Производственного назнач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ния, транспортной инфраструктуры, инфраструкт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ры национальной инновационной системы и другие</w:t>
            </w:r>
          </w:p>
        </w:tc>
      </w:tr>
      <w:tr w:rsidR="00DB74B1" w:rsidRPr="00DB74B1" w:rsidTr="00DB74B1">
        <w:trPr>
          <w:trHeight w:val="58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9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2.1</w:t>
            </w:r>
          </w:p>
        </w:tc>
        <w:tc>
          <w:tcPr>
            <w:tcW w:w="7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Значения колич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ственных показат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лей (показателя) результатов реал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зации инвестиц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онного проекта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97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48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9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2.2</w:t>
            </w:r>
          </w:p>
        </w:tc>
        <w:tc>
          <w:tcPr>
            <w:tcW w:w="7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Отношение сме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ной стоимости или предполагаемой (предельной) сто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мости объе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та капитального строительства либо стоим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сти приобретения объекта недвиж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мого имущества, входящих в состав инвестиционного проекта к значениям кол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чественных показ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телей (показателя) результатов реал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зации инвестиц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онного проекта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89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75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9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2.3</w:t>
            </w:r>
          </w:p>
        </w:tc>
        <w:tc>
          <w:tcPr>
            <w:tcW w:w="7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Наличие потреб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телей услуг (пр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ду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ции), создаваемых в результате реал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зации инвестиц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 xml:space="preserve">онного проекта, в 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количес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ве, достаточном для обеспечения проектируем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го (нормативного) уровня использ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вания проек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ной мощности об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ъ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екта (мощности приобретаем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го объекта недв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жимого имущес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ва)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89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20</w:t>
            </w:r>
          </w:p>
        </w:tc>
        <w:tc>
          <w:tcPr>
            <w:tcW w:w="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54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9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2.4</w:t>
            </w:r>
          </w:p>
        </w:tc>
        <w:tc>
          <w:tcPr>
            <w:tcW w:w="7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Отношение пр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ектной мощности создаваемого (р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конструируемого) объекта капитал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ного строительства (мощности прио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ретаемого объекта недвижимого им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щества) к мощн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сти, необходимой для производства необходимой для производства пр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дукции (услуг) в объеме, пред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смотренном для обеспечения фед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ральных нужд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92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19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010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9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2.5</w:t>
            </w:r>
          </w:p>
        </w:tc>
        <w:tc>
          <w:tcPr>
            <w:tcW w:w="7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Возможность обе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печения планиру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мого объе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та капитального строительства (объе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та недвижимого имущества) инж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нерной и транспортной инфраструктурами в объ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мах, достаточных для реализации проекта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89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9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8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528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3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528" w:right="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Методике оценке эффективн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528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использования средств местного бюджета, направляемых на кап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тальные 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Рекомендуемые количественные показатели, характеризующие цель и результаты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реализации проекта</w:t>
      </w:r>
    </w:p>
    <w:tbl>
      <w:tblPr>
        <w:tblW w:w="7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82"/>
        <w:gridCol w:w="1382"/>
        <w:gridCol w:w="334"/>
        <w:gridCol w:w="1559"/>
        <w:gridCol w:w="1806"/>
        <w:gridCol w:w="35"/>
        <w:gridCol w:w="122"/>
      </w:tblGrid>
      <w:tr w:rsidR="00DB74B1" w:rsidRPr="00DB74B1" w:rsidTr="00DB74B1">
        <w:trPr>
          <w:gridAfter w:val="2"/>
          <w:wAfter w:w="960" w:type="dxa"/>
          <w:tblCellSpacing w:w="0" w:type="dxa"/>
        </w:trPr>
        <w:tc>
          <w:tcPr>
            <w:tcW w:w="723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-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Количественные показатели: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-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характеризующие прямые (непосредственные) резул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таты проекта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113" w:right="15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характеризующие конечные результаты проекта</w:t>
            </w:r>
          </w:p>
        </w:tc>
      </w:tr>
      <w:tr w:rsidR="00DB74B1" w:rsidRPr="00DB74B1" w:rsidTr="00DB74B1">
        <w:trPr>
          <w:trHeight w:val="540"/>
          <w:tblCellSpacing w:w="0" w:type="dxa"/>
        </w:trPr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10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Строительство (реконструкция) объектов здравоохранения, обр</w:t>
            </w: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зования, культуры и спорта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340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11"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Учреждения здравоохранения (мед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цинские центры, больницы, поликл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ники, родильные дома, диспансеры и др.)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Мощность объекта: количество койко-мест; количество посещений в смену.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Общая площадь здания, кв.м.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Строительный объем, куб.м.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left="6" w:right="21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един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left="6" w:right="21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медперсоналом, в процентах к уровню обеспеченности до реал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зации проекта.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 w:right="21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 случае создания (реконструкции) специализированных мед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цинских центров, клиник - снижение заболеваемости, смертн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сти по профилю медицинского учреждения.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56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Дошкольные и общеобразовательные учреждения, центры детского творчес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ва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11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Мощность объекта: количество мест.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Общая площадь здания, кв.м.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Строительный объем, куб.м.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3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3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Рост обеспеченности региона, муниципального образования или входящих в него поселений (в расчете на 100 детей) 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97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Учреждения культуры (театры, музеи, библиотеки и т.п.)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Мощность объекта: количество мест; кол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чество посетителей в день. Для библиотек число единиц библи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течного фонда.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2.Общая площадь зд., кв.м.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Строительный объем, куб.м.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3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 w:right="23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Рост обеспеченности региона, муниципального образования или входящих в него поселений (в расчете на 1000 жителей) местами в учреждениях культуры, в процентах к уровню обеспеченности до реализации проекта.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90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Учреждения социальной защиты нас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ления (дома инвалидов и престарелых, детей-инвалидов, детские дома)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11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Мощность объекта: количество мест.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Общая площадь здания, кв.м.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Строительный объем, куб. м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95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Мощность объекта: пропускная способность спортивных сооруж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ний; количество мест, тыс. человек.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Общая площадь здания, кв.м.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Строительный объем, куб.м.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17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един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 w:right="17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Рост обеспеченности региона, муниципального образования или входящих в него поселений объектами физической культуры и спорта, рост количества мест в процентах к уровню обеспеченности до реализации проекта.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630"/>
          <w:tblCellSpacing w:w="0" w:type="dxa"/>
        </w:trPr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Строительство (реконструкция) общественных зданий и жилых помещений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66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Жилые дома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Общая площадь объекта, кв. 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Полезная жилая площадь объекта, кв. 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Количество квартир.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Сокращение количества очередников на улучшение жилищных условий в регионе, муниципальном образовании или входящих в него поселениях, в процентах к количеству очередников до реализ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ции проекта.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86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Административные здания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Общая площадь объекта, кв. 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Полезная и служебная площадь объекта, кв. 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3.Строительный объем, куб.м.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Обеспечение комфортных условий труда работников, кв. м общей (полезной, служебной) площади здания на одного работника.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44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Общежития; казармы для военносл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жащих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мест.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Общая площадь объекта, кв. 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Строительный объем, куб.м.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Обеспечение комфортных условий проживания, кв. м общей площ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ди объекта на одного проживающего.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465"/>
          <w:tblCellSpacing w:w="0" w:type="dxa"/>
        </w:trPr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Строительство (реконструкция) объектов коммунальной инфр</w:t>
            </w: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структуры и охраны окружающей среды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01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Очистные сооружения (для защиты водных ресурсов и воздушного бассе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й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на от бытовых и техногенных загрязн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ний)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Мощность объекта: объем переработки очищаемого ресурса, куб. м (тонн) в сутки (год).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left="6"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Сокращение концентрации вредных веществ в сбросах (в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ы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бросах), в процентах к их концентрации до реализации проекта.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Соответствие концентраций вредных веществ предельно 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пустимой концентрации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22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Береговые сооружения для защиты от наводнений, противооползневые с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оружения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1.Общая площадь (объем) объекта, кв. м. (куб. м)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2.Иные размерные характеристики объекта в соответствующих единицах измерения.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3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Общая площадь защищаемой от наводнения (оползня) бер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говой зоны, тыс. кв. 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3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Предотвращенный экономический ущерб (по данным экон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мического ущерба от последнего наводнения, оползня), млн. руб.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45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Объекты по переработке и захоронению токсичных промышленных отходов (ТПО)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Мощность объекта: объем переработки очищаемого ресурса, куб. м (тонн) в сутки (год).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2.Срок безопасного хранения захороненных ТПО, лет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99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Мелиорация и реконструкция земель сельскохозяйственного назначения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Общая площадь мели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рируемых и реконс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руируемых  земель, гектары.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3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единицы.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left="6" w:right="23"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Предотвращение выбытия из сельскохозяйственного оборота сельхозугодий, гектары.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Прирост сельскохозяйственной продукции в результате проведе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ных мероприятий, тонн.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74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Объекты коммунальной инфраструкт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ры (объекты водоснабжения, водоотв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дения, тепло-, газо- и электроснабж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ния)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Мощность объекта в соответствующих натуральных единицах измерения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Размерные и иные характеристики объекта (газопровода-отвода - км, давление; электр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ческих сетей - км, напряжение и т.п.)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3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единицы.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left="6" w:right="23"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Увеличение количества населенных пунктов, имеющих водопр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вод и канализацию, единицы.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Увеличение уровня газификации региона, муниципального обр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зования или входящих в него поселений, в процентах к уровню газификации до начала реализации проекта.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66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Сортировка, переработка и утилизация твердых бытовых отходов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Мощность объекта: объем переработки твердых бытовых отходов, тонн в сутки (год).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3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3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Закрытие существующих свалок твердых бытовых отходов, общая площадь рекультивированных земель, гектары.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390"/>
          <w:tblCellSpacing w:w="0" w:type="dxa"/>
        </w:trPr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Строительство (реконструкция) производственных объектов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171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89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Производственные объекты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Мощность объекта, в соответствующих натуральных единицах измерения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Конечные результаты с учетом типа проекта (например, п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вышение доли конкурентоспособной продукции (услуг) в общем объеме производства, в процентах).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585"/>
          <w:tblCellSpacing w:w="0" w:type="dxa"/>
        </w:trPr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Строительство (реконструкция) инфраструктуры инновационной системы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74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Инфраструктура научно-технической и инновационной деятельности (научные центры по разработке нанотехнологий; нанопроизводства; автоматизированн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го проектирования; производственно-экспериментальные базы и другие)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Общая площадь объекта, кв. 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Иные размерные характеристики объекта в соответствующих единицах измерения.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 w:right="28"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Количество новых технологий, уровень новизны образцов новой техники.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74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Инфраструктура коммерциализации инноваций (особые экономические зоны, технопарки, инновационно-технологические центры, бизнес-инкубаторы и т.п.)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Общая площадь объекта, кв. 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Иные размерные характеристики объе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тов соответствующих единицах измерения.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 Количество создаваемых (сохраняемых) рабочих мест, един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Повышение доли инновационно- активных организаций, ос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у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ществляющих технологические инновации, в общем числе организ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ций, процентов.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24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Повышение доли инновационной продукции в общем объеме выпускаемой продукции, в процентах.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480"/>
          <w:tblCellSpacing w:w="0" w:type="dxa"/>
        </w:trPr>
        <w:tc>
          <w:tcPr>
            <w:tcW w:w="7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ind w:left="10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Строительство (реконструкция) объектов транспортной инфр</w:t>
            </w: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структуры</w:t>
            </w:r>
          </w:p>
        </w:tc>
        <w:tc>
          <w:tcPr>
            <w:tcW w:w="3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74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Пути сообщения общего пользования (железнодорожные пути; автомобил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ные дороги с твердым покрытием, магистральные трубопроводы)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 Эксплуатационная длина путей сообщения общего пользования, км.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Иные размерные характеристики объекта в соответствующих единица измерения.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единицы.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Объем (увеличение объема): грузооборота транспорта общего пользования, тонно-км в год;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Пассажирооборота железнодорожного, автобусного и другого транспорта, пассажиро-км в год.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4. Сокращение времени пребывания грузов, пассажиров в пути, процентов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8"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5. Увеличение доли населенных пунктов, связанных дорогами с твердым покрытием с сетью путей сообщения общего пользования.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2220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Мосты, тоннели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Общая площадь объекта, кв.м.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2.Эксплуатационная длина объекта, км.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Иные размерные характеристики объекта в соответствующих единицах измерения.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Объем (увеличение объема) грузооборота транспорта общего пользования, тонно-км в год.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left="6" w:right="28"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Объем (увеличение объема) пассажирооборота железнодорожн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го, автобусного и другого транспорта, пассажиро-км в год.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Сокращение времени пребывания грузов, пассажиров в пути, процентов.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412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Аэропорты (аэровокзалы, взлетно-посадочные полосы, рулежные доро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ж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ки, места стоянки самолетов, объекты навигации и управления воздушным движением и т.п.)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Мощность объекта (объем перевозимых грузов, тонн; количество перевозимых пассаж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ров, человек).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Общая площадь объекта, кв. м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3.Иные размерные характеристики объекта в соответствующих единицах измерения.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единицы.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Объем (увеличение объема) грузооборота воздушного транспорта, тонно-км в год.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Объем (увеличение объема) пассажирооборота воздушного тран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с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порта, пассажиро-км в год.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28"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4.Сокращение времени пребывания грузов, пассажиров в пути, процентов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B74B1" w:rsidRPr="00DB74B1" w:rsidTr="00DB74B1">
        <w:trPr>
          <w:trHeight w:val="3015"/>
          <w:tblCellSpacing w:w="0" w:type="dxa"/>
        </w:trPr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Морские и речные порты, портопункты и причалы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Мощность объекта (объем перевозимых грузов, тонн; количество перевозимых пассаж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ров, человек).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Общая площадь объекта, кв. м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Иные размерные характеристики объекта в соответствующих единицах измерения.</w:t>
            </w:r>
          </w:p>
        </w:tc>
        <w:tc>
          <w:tcPr>
            <w:tcW w:w="53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 w:firstLine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 Количество создаваемых (сохраняемых) рабочих мест, единицы.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left="6" w:right="28"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 Объем (увеличение объема) грузооборота водного транспорта, тонно- км в год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/>
              <w:ind w:right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3. Объем (увеличение объема) пассажирооборота водного транспо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р</w:t>
            </w: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та, пассажиро-км в год.</w:t>
            </w:r>
          </w:p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ind w:left="6" w:right="28"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4. Сокращение времени пребывания грузов, пассажиров в пути, процентов</w:t>
            </w: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4961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4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4961" w:right="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Методике оценке эффективности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4961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использования средств местного бюджета, направляемых на капитал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ные 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6237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6237"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Сведения и количественные показатели результатов реализации инв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е</w:t>
      </w:r>
      <w:r w:rsidRPr="00DB74B1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стиционного проекта-аналога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3704"/>
        <w:gridCol w:w="626"/>
        <w:gridCol w:w="1936"/>
        <w:gridCol w:w="130"/>
      </w:tblGrid>
      <w:tr w:rsidR="00DB74B1" w:rsidRPr="00DB74B1" w:rsidTr="00DB74B1">
        <w:trPr>
          <w:trHeight w:val="150"/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Наименование инвестиционного проекта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75"/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240"/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Срок реализации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45"/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4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4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120"/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Месторасположение объекта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495"/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Форма реализации инвестиционного проекта (строительство, реконструкция объекта капитального строительства, иные 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вестиции в основной капитал)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495"/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Сметная стоимость и количественные показатели резул</w:t>
            </w: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ь</w:t>
            </w: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татов реализации инвестиционного проекта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690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N п/п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Ед. изм.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Значение показ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теля по проекту</w:t>
            </w:r>
          </w:p>
        </w:tc>
      </w:tr>
      <w:tr w:rsidR="00DB74B1" w:rsidRPr="00DB74B1" w:rsidTr="00DB74B1">
        <w:trPr>
          <w:trHeight w:val="195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DB74B1" w:rsidRPr="00DB74B1" w:rsidTr="00DB74B1">
        <w:trPr>
          <w:trHeight w:val="1875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Сметная стоимость объекта-аналога по заключению госуда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ственной экспертизы (с указанием года ее получения)/в ценах года расчета сметной стоимости план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руемого объекта капитального строительства, реализуемого в рамках инвестиционного проекта, представляемого для проведения оценки эффективности (с указан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ем года ее определения)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млн. руб.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</w:p>
        </w:tc>
      </w:tr>
      <w:tr w:rsidR="00DB74B1" w:rsidRPr="00DB74B1" w:rsidTr="00DB74B1">
        <w:trPr>
          <w:trHeight w:val="210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330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строительно-монтажные работы, из них дорогостоящие работы и материалы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</w:p>
        </w:tc>
      </w:tr>
      <w:tr w:rsidR="00DB74B1" w:rsidRPr="00DB74B1" w:rsidTr="00DB74B1">
        <w:trPr>
          <w:trHeight w:val="495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приобретение машин и оборуд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вания, из них дорогостоящие м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шины и оборудование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</w:p>
        </w:tc>
      </w:tr>
      <w:tr w:rsidR="00DB74B1" w:rsidRPr="00DB74B1" w:rsidTr="00DB74B1">
        <w:trPr>
          <w:trHeight w:val="285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прочие затраты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</w:p>
        </w:tc>
      </w:tr>
      <w:tr w:rsidR="00DB74B1" w:rsidRPr="00DB74B1" w:rsidTr="00DB74B1">
        <w:trPr>
          <w:trHeight w:val="330"/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line="330" w:lineRule="atLeast"/>
              <w:textAlignment w:val="auto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Показатели, характеризующие прямые результаты реал</w:t>
            </w: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и</w:t>
            </w: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зации проекта-аналога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15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line="1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1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1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line="1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</w:p>
        </w:tc>
      </w:tr>
      <w:tr w:rsidR="00DB74B1" w:rsidRPr="00DB74B1" w:rsidTr="00DB74B1">
        <w:trPr>
          <w:trHeight w:val="165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...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</w:p>
        </w:tc>
      </w:tr>
      <w:tr w:rsidR="00DB74B1" w:rsidRPr="00DB74B1" w:rsidTr="00DB74B1">
        <w:trPr>
          <w:trHeight w:val="225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</w:p>
        </w:tc>
      </w:tr>
      <w:tr w:rsidR="00DB74B1" w:rsidRPr="00DB74B1" w:rsidTr="00DB74B1">
        <w:trPr>
          <w:trHeight w:val="135"/>
          <w:tblCellSpacing w:w="0" w:type="dxa"/>
        </w:trPr>
        <w:tc>
          <w:tcPr>
            <w:tcW w:w="99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line="135" w:lineRule="atLeast"/>
              <w:textAlignment w:val="auto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 w:bidi="ar-SA"/>
              </w:rPr>
            </w:pP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Показатели, характеризующие конечные результаты ре</w:t>
            </w: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а</w:t>
            </w:r>
            <w:r w:rsidRPr="00DB74B1">
              <w:rPr>
                <w:rFonts w:eastAsia="Times New Roman" w:cs="Times New Roman"/>
                <w:b/>
                <w:bCs/>
                <w:color w:val="26282F"/>
                <w:kern w:val="36"/>
                <w:lang w:eastAsia="ru-RU" w:bidi="ar-SA"/>
              </w:rPr>
              <w:t>лизации проекта-аналога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30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line="3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3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3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3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74B1" w:rsidRPr="00DB74B1" w:rsidTr="00DB74B1">
        <w:trPr>
          <w:trHeight w:val="105"/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line="10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...</w:t>
            </w:r>
          </w:p>
        </w:tc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10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10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spacing w:before="50" w:after="50" w:line="10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righ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3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5670" w:righ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проведения проверки инвестиционных проектов на предмет эффективности испол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зования средств муниципальн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го бюджета, направляемых на капитальные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ind w:left="5670" w:righ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ПОРЯДОК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703" w:hanging="61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ведения реестра инвестиционных проектов, получивших положител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ное заключение об эффективности использования средств местн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го бюджета, направляемых на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DB74B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капитальные вложения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1. Настоящий Порядок устанавливает процедуру ведения реестра инвест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ционных проектов, получивших положительное заключение об эффективности 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пользования средств местного бюджета, направляемых на капитальные вложения (далее - Реестр), в том числе требования к ведению и содержанию Реестра.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2. Реестр является информационной базой, содержащей зафиксированные на электронном носителе в соответствии с законодательством Российской Федер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ции, Курской области и Медвенского муниципального района об информации, 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формационных технологиях и о защите информации сведения об инвестиционных проектах, получивших положительное заключение об эффективности использов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ния средств местного бюджета, направляемых на капитальные вложения.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11" w:righ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3. Реестр ведется на электронном и бумажном носителе путем внесения в него соответствующих записей.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4.Сведения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 бюджета, направляемых на капитальные влож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ния.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5. Реестровая запись содержит следующие сведения: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2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1) порядковый номер записи;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left="6" w:righ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2) наименование организации заявителя, представившего комплект док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 для проведения проверки инвестиционного проекта на предмет эффекти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ности использования средств местного бюджета, направляемых на капитальные вложения;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3) наименование инвестиционного проекта, получившего положительное заключение об эффективности использования средств местного бюджета, напра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ляемых на капитальные вложения, согласно паспорту инвестиционного проекта;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4) значения количественных показателей (показателя) реализации инвест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ционного проекта, получившего положительное заключение об эффективности использования средств местного бюджета, направляемых на капитальные влож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ния, с указанием единиц измерения показателей;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5) сметную стоимость объекта капитального строительства по заключению государственной экспертизы в ценах года его получения или предполагаемую (предельную) стоимость объекта капитального строительства в ценах года пре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ставления паспорта инвестиционного проекта, а также рассчитанную в ценах года представления паспорта инвестиционного проекта, рассчитанную в ценах соотве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ствующих лет согласно паспорту инвестиционного проекта (в млн. рублей с одним знаком после запятой);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6) реквизиты комплекта документов, представляемых заявителем для пр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ведения проверки инвестиционного проекта на предмет эффективности использ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вания средств местного бюджета, направляемых на капитальные вложения (рег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страционный номер, дата, фамилия, имя, отчество и должность подписавшего 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ца);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тальные вложения (номер и дата заключения, фамилия, имя, отчество и дол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ность лица, подписавшего заключение, характер заключения - положительное или отрицательное).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spacing w:line="102" w:lineRule="atLeast"/>
        <w:ind w:right="1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6. Изменения в Реестр вносятся в срок, указанный в пункте 4 настоящего Порядка, со дня утверждения повторного заключения по инвестиционному прое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74B1">
        <w:rPr>
          <w:rFonts w:ascii="Tahoma" w:eastAsia="Times New Roman" w:hAnsi="Tahoma" w:cs="Tahoma"/>
          <w:color w:val="000000"/>
          <w:kern w:val="0"/>
          <w:lang w:eastAsia="ru-RU" w:bidi="ar-SA"/>
        </w:rPr>
        <w:t>ту об эффективности использования средств местного бюджета, направляемых на капитальные вложения.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17" name="Рисунок 11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DB74B1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  </w:r>
      </w:hyperlink>
      <w:r w:rsidRPr="00DB74B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DB74B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B74B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24.08.2018 15:58. Последнее изменение: 24.08.2018 15:58.</w:t>
      </w:r>
    </w:p>
    <w:p w:rsidR="00DB74B1" w:rsidRPr="00DB74B1" w:rsidRDefault="00DB74B1" w:rsidP="00DB74B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B74B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1050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B74B1" w:rsidRPr="00DB74B1" w:rsidTr="00DB74B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DB74B1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B74B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B74B1" w:rsidRPr="00DB74B1" w:rsidRDefault="00DB74B1" w:rsidP="00DB74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B74B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DB74B1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B74B1" w:rsidRDefault="00296A66" w:rsidP="00DB74B1"/>
    <w:sectPr w:rsidR="00296A66" w:rsidRPr="00DB74B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BD" w:rsidRDefault="00C108BD" w:rsidP="00296A66">
      <w:r>
        <w:separator/>
      </w:r>
    </w:p>
  </w:endnote>
  <w:endnote w:type="continuationSeparator" w:id="0">
    <w:p w:rsidR="00C108BD" w:rsidRDefault="00C108B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BD" w:rsidRDefault="00C108BD" w:rsidP="00296A66">
      <w:r w:rsidRPr="00296A66">
        <w:rPr>
          <w:color w:val="000000"/>
        </w:rPr>
        <w:separator/>
      </w:r>
    </w:p>
  </w:footnote>
  <w:footnote w:type="continuationSeparator" w:id="0">
    <w:p w:rsidR="00C108BD" w:rsidRDefault="00C108B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433790"/>
    <w:multiLevelType w:val="multilevel"/>
    <w:tmpl w:val="9A42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E6C2E"/>
    <w:rsid w:val="00413F19"/>
    <w:rsid w:val="00425FF5"/>
    <w:rsid w:val="004305AA"/>
    <w:rsid w:val="0045470B"/>
    <w:rsid w:val="00466093"/>
    <w:rsid w:val="00467304"/>
    <w:rsid w:val="00496F7A"/>
    <w:rsid w:val="004C0230"/>
    <w:rsid w:val="004F0767"/>
    <w:rsid w:val="00543742"/>
    <w:rsid w:val="0059658A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85F"/>
    <w:rsid w:val="00AE1537"/>
    <w:rsid w:val="00B175ED"/>
    <w:rsid w:val="00B62383"/>
    <w:rsid w:val="00C108BD"/>
    <w:rsid w:val="00C7173F"/>
    <w:rsid w:val="00CF337E"/>
    <w:rsid w:val="00D37F38"/>
    <w:rsid w:val="00D64D49"/>
    <w:rsid w:val="00DB0115"/>
    <w:rsid w:val="00DB74B1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exp.ru/sostavlenie_smet.html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33976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233976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index.php?mun_obr=270&amp;sub_menus_id=31700&amp;print=1&amp;id_mat=2339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32</Pages>
  <Words>10927</Words>
  <Characters>62284</Characters>
  <Application>Microsoft Office Word</Application>
  <DocSecurity>0</DocSecurity>
  <Lines>519</Lines>
  <Paragraphs>146</Paragraphs>
  <ScaleCrop>false</ScaleCrop>
  <Company/>
  <LinksUpToDate>false</LinksUpToDate>
  <CharactersWithSpaces>73065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66</cp:revision>
  <cp:lastPrinted>2019-04-04T14:53:00Z</cp:lastPrinted>
  <dcterms:created xsi:type="dcterms:W3CDTF">2023-09-30T19:07:00Z</dcterms:created>
  <dcterms:modified xsi:type="dcterms:W3CDTF">2023-10-01T06:28:00Z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