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7" w:rsidRPr="00AE1537" w:rsidRDefault="00AE1537" w:rsidP="002D2844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AE1537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E153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муниципальной программы «Социальная поддержка граждан муниципального образования «Вышнереу</w:t>
      </w:r>
      <w:r w:rsidRPr="00AE153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</w:t>
      </w:r>
      <w:r w:rsidRPr="00AE153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чанский сельсовет» Медвенского района Курской области на 2019-2021 годы»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07.11.2018г № 96-па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right="3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утверждении муниципальной программы «Соц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альная поддержка граждан муниципального образ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вания «Вышнереутчанский сельсовет» Медвенского района Курской области на 2019-2021 годы»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_1"/>
      <w:bookmarkStart w:id="1" w:name="p_2400400"/>
      <w:bookmarkEnd w:id="0"/>
      <w:bookmarkEnd w:id="1"/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со статьей 179 Бюджетного Кодекса Российской Федер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ции, Федеральным законом от 06.10.2003 №131-ФЗ «Об общих принципах орг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низации местного самоуправления в Российской Федерации» (с изменениями и дополнениями), </w:t>
      </w:r>
      <w:r w:rsidRPr="00AE1537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Постановлением Правительства РФ от 15 апреля 2014г.N296 "Об утверждении государственной программы Российской Федерации "Соц</w:t>
      </w:r>
      <w:r w:rsidRPr="00AE1537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и</w:t>
      </w:r>
      <w:r w:rsidRPr="00AE1537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альная поддержка граждан"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 изменениями и дополнениями от: 31 марта, 30 и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ю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ня, 9 августа, 17 ноября, 13 декабря 2017 г., 19 января, 5, 27 февраля, 30 марта, 8 сентября 2018 г. А</w:t>
      </w:r>
      <w:r w:rsidRPr="00AE1537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дминистрация Вышнеутчанского сельсовета Медвенского района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1.Утвердить прилагаемую муниципальную программу 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«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Социальная по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держка граждан муниципального образования «Вышнереутчанский сельсовет» Медвенского района Курской области на 2019-2021 годы» (далее по тексту – Программа).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2.Установить, что в ходе реализации Программы ежегодной корректиро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ке подлежат мероприятия и объёмы их финансирования с учётом возможностей средств бюджета Вышнереутчанского сельсовета Медвенского района.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3.Контроль за выполнением настоящего постановления оставляю за с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бой.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Настоящее постановление вступает в силу со дня его подписания и подлежит размещению на официальном сайте муниципального образования «Вышнереутчанский сельсовет» Медвенского района Курской области и в сети «Интернет».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 А.Г.Подтуркин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Утверждена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Медвенского района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от 07.11.2018г. № 96-па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 w:line="18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 w:line="180" w:lineRule="atLeast"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Муниципальная программа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«Социальная поддержка граждан муниципального образования «Вышн</w:t>
      </w:r>
      <w:r w:rsidRPr="00AE153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е</w:t>
      </w:r>
      <w:r w:rsidRPr="00AE153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реутчанский сельсовет» Медвенского района Курской области» на 2019-2021 годы»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Паспорт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муниципальной программы «Социальная поддержка граждан муниципального о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б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разования «Вышнереутчанский сельсовет» Медвенского района Курской обла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ти» на 2019-2021 годы»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7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358"/>
        <w:gridCol w:w="4012"/>
      </w:tblGrid>
      <w:tr w:rsidR="00AE1537" w:rsidRPr="00AE1537" w:rsidTr="00AE1537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Наименование пр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Социальная поддержка гра</w:t>
            </w:r>
            <w:r w:rsidRPr="00AE153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</w:t>
            </w:r>
            <w:r w:rsidRPr="00AE153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дан 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муниципального образования «Вышнереутчанский сельсовет» Медвенского района Курской обла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ти</w:t>
            </w:r>
            <w:r w:rsidRPr="00AE153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на 2019-2021 годы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Основание для ра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работки программы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Федеральный закон от 06.10.2003 №131-ФЗ «Об общих принципах 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ганизации местного самоуправления в Российской Федерации»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Разработчик пр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го сельсовета Медвенского района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Исполнители пр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го сельсовета Медвенского района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Подпрограммы пр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Подпрограмма 1 «Развитие мер социальной поддержки отдельных категорий граждан муниципального образования «Вышнереутчанский сельсовет» Медвенского района Ку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ской области»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Цели программы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 повышение уровня жизни гра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дан - получателей мер социальной поддержки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Задачи программы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 выполнение обязательств гос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дарства по социальной поддержке граждан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Сроки и этапы реал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зации программы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2019-2021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Основные целевые показатели програ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Количество граждан получающих социальную поддержку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Уровень качества исполнения об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зательств государства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-выполнение мероприятий по ра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ходам на программу в целях обесп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чения выполнения функций органами местного самоуправления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Ресурсное обеспеч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ние программы: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Общий объем финансирования с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ставляет 334428 рублей, в том числе: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средства местного бюджета - 334428 рублей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средства областного бюджета - 0 рублей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средства федерального бюджета - 0 рублей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внебюджетные источники - 0 ру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лей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Управление реализ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цией программы и контроль за ходом ее выполнения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ского сельсовета Медвенского ра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она</w:t>
            </w:r>
          </w:p>
        </w:tc>
      </w:tr>
    </w:tbl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I. Характеристика проблемы, на решение которой направлена Программа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Социальная поддержка граждан представляет собой систему правовых, экономич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ских, организационных и иных мер, гарантированных государством отдельным категор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«Вышнереутчанский сельсовет» Медвенского района Курской области.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К настоящему времени в муниципальном образовании «Вышнереутчанский сел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совет» Медвенского района Курской области сформирована система социальной по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держки граждан, структурными элементами которой являются: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граждане (муниципальные служащие, выборные должностные лица) - получатели мер социальной поддержки.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Действующая система социальной поддержки граждан в муниципальном образов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нии «Вышнереутчанский сельсовет» Медвенского района Курской области, как и в целом по Российской Федерации, базируется на ряде принципиальных положений, в том числе: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добровольность предоставления мер социальной поддержки;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безусловная гарантированность исполнения принятых обязательств по предоста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ствуется ее организация, укрепляется информационная и кадровая база.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Меры социальной поддержки предоставляются в денежной форме. Регулярные д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нежные выплаты за счет средств бюджета муниципального образования «Вышнереутча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ский сельсовет» Медвенского района Курской области получают пенсионеры из числа бывших муниципальных служащих и выборных должностных лиц.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lastRenderedPageBreak/>
        <w:t>В сложившихся условиях прогнозируется, что развитие системы социальной по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держки граждан на период до 2021 года будет осуществляться на основе адресности и оценке доходов.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uppressAutoHyphens w:val="0"/>
        <w:autoSpaceDN/>
        <w:spacing w:line="120" w:lineRule="atLeast"/>
        <w:ind w:left="23"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II. Основные цели и задачи Программы с указанием сроков и этапов ее реал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зации, а также целевые индикаторы и показатели, характеризующие эффективность реализации Программы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Основной целью программы является повышение уровня жизни граждан - получ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телей мер социальной поддержки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Для выполнения данной цели необходимо решить следующие задачи: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- выполнение обязательств государства по социальной поддержке граждан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- проведение мероприятий, направленных на пропаганду семейных ценностей, 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ветственного родителя, а также на профилактику преждевременной смерти.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20001"/>
          <w:kern w:val="0"/>
          <w:lang w:eastAsia="ru-RU" w:bidi="ar-SA"/>
        </w:rPr>
        <w:t>Программа носит долгосрочный характер и реализуется в 2019-2021 годах в один этап.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Прогнозируемые значения целевых индикаторов и показателей Программы, позв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ляющие оценить эффективность реализации Программы по годам, указаны в приложении № 1.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bookmark0"/>
      <w:bookmarkEnd w:id="2"/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III. Перечень программных мероприятий, сроки их реализации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40203"/>
          <w:kern w:val="0"/>
          <w:lang w:eastAsia="ru-RU" w:bidi="ar-SA"/>
        </w:rPr>
        <w:t>Муниципальная программа определяет направления деятельности, обеспечива</w:t>
      </w:r>
      <w:r w:rsidRPr="00AE1537">
        <w:rPr>
          <w:rFonts w:eastAsia="Times New Roman" w:cs="Times New Roman"/>
          <w:color w:val="040203"/>
          <w:kern w:val="0"/>
          <w:lang w:eastAsia="ru-RU" w:bidi="ar-SA"/>
        </w:rPr>
        <w:t>ю</w:t>
      </w:r>
      <w:r w:rsidRPr="00AE1537">
        <w:rPr>
          <w:rFonts w:eastAsia="Times New Roman" w:cs="Times New Roman"/>
          <w:color w:val="040203"/>
          <w:kern w:val="0"/>
          <w:lang w:eastAsia="ru-RU" w:bidi="ar-SA"/>
        </w:rPr>
        <w:t>щие реализацию принятых нормативных обязательств и создание благоприятных условий для 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роста благосостояния граждан-получателей мер социальной поддержки</w:t>
      </w:r>
      <w:r w:rsidRPr="00AE1537">
        <w:rPr>
          <w:rFonts w:eastAsia="Times New Roman" w:cs="Times New Roman"/>
          <w:color w:val="040203"/>
          <w:kern w:val="0"/>
          <w:lang w:eastAsia="ru-RU" w:bidi="ar-SA"/>
        </w:rPr>
        <w:t> в Амосовском сельсовете Медвенского района.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40203"/>
          <w:kern w:val="0"/>
          <w:lang w:eastAsia="ru-RU" w:bidi="ar-SA"/>
        </w:rPr>
        <w:t>Муниципальная программа предполагает выполнение следующих мероприятий: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- Выплата пенсий за выслугу лет и доплат к пенсиям муниципальных служащих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- Проведение ежеквартального мониторинга хода реализации программы</w:t>
      </w:r>
    </w:p>
    <w:p w:rsidR="00AE1537" w:rsidRPr="00AE1537" w:rsidRDefault="00AE1537" w:rsidP="00AE1537">
      <w:pPr>
        <w:widowControl/>
        <w:suppressAutoHyphens w:val="0"/>
        <w:autoSpaceDN/>
        <w:spacing w:line="120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нии № 2 к настоящей Программе.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20001"/>
          <w:kern w:val="0"/>
          <w:lang w:eastAsia="ru-RU" w:bidi="ar-SA"/>
        </w:rPr>
        <w:t>В процессе реализаци</w:t>
      </w:r>
      <w:r w:rsidRPr="00AE1537">
        <w:rPr>
          <w:rFonts w:eastAsia="Times New Roman" w:cs="Times New Roman"/>
          <w:color w:val="232022"/>
          <w:kern w:val="0"/>
          <w:lang w:eastAsia="ru-RU" w:bidi="ar-SA"/>
        </w:rPr>
        <w:t>и 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муниципальной программы допускается внесение измен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е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ний в нормативные правовые акты </w:t>
      </w:r>
      <w:r w:rsidRPr="00AE1537">
        <w:rPr>
          <w:rFonts w:eastAsia="Times New Roman" w:cs="Times New Roman"/>
          <w:color w:val="040203"/>
          <w:kern w:val="0"/>
          <w:lang w:eastAsia="ru-RU" w:bidi="ar-SA"/>
        </w:rPr>
        <w:t>Вышнереутчанского 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сельсовета, связанные со сф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е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рой</w:t>
      </w:r>
      <w:r w:rsidRPr="00AE1537">
        <w:rPr>
          <w:rFonts w:eastAsia="Times New Roman" w:cs="Times New Roman"/>
          <w:color w:val="5A5A5A"/>
          <w:kern w:val="0"/>
          <w:lang w:eastAsia="ru-RU" w:bidi="ar-SA"/>
        </w:rPr>
        <w:t> 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её применения</w:t>
      </w:r>
      <w:r w:rsidRPr="00AE1537">
        <w:rPr>
          <w:rFonts w:eastAsia="Times New Roman" w:cs="Times New Roman"/>
          <w:color w:val="232022"/>
          <w:kern w:val="0"/>
          <w:lang w:eastAsia="ru-RU" w:bidi="ar-SA"/>
        </w:rPr>
        <w:t>, 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о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ответствия данных актов с мероприятиями, реализуемыми в целях 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роста благосостояния граждан-получателей мер социальной поддержки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 на террит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о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рии </w:t>
      </w:r>
      <w:r w:rsidRPr="00AE1537">
        <w:rPr>
          <w:rFonts w:eastAsia="Times New Roman" w:cs="Times New Roman"/>
          <w:color w:val="040203"/>
          <w:kern w:val="0"/>
          <w:lang w:eastAsia="ru-RU" w:bidi="ar-SA"/>
        </w:rPr>
        <w:t>Вышнереутчанского </w:t>
      </w:r>
      <w:r w:rsidRPr="00AE1537">
        <w:rPr>
          <w:rFonts w:eastAsia="Times New Roman" w:cs="Times New Roman"/>
          <w:color w:val="020001"/>
          <w:kern w:val="0"/>
          <w:lang w:eastAsia="ru-RU" w:bidi="ar-SA"/>
        </w:rPr>
        <w:t>сельсовета Медвенского района.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IV. Ресурсное обеспечение Программы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Организация мероприятий муниципальной программы осуществляется за счет средств местного бюджета.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Объем бюджетных ассигнований местного бюджета определяется на основе реш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ния Собрания депутатов </w:t>
      </w:r>
      <w:r w:rsidRPr="00AE1537">
        <w:rPr>
          <w:rFonts w:eastAsia="Times New Roman" w:cs="Times New Roman"/>
          <w:color w:val="040203"/>
          <w:kern w:val="0"/>
          <w:lang w:eastAsia="ru-RU" w:bidi="ar-SA"/>
        </w:rPr>
        <w:t>Вышнереутчанского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 сельсовета Медвенского района «О бюджете муниципального образования «</w:t>
      </w:r>
      <w:r w:rsidRPr="00AE1537">
        <w:rPr>
          <w:rFonts w:eastAsia="Times New Roman" w:cs="Times New Roman"/>
          <w:color w:val="040203"/>
          <w:kern w:val="0"/>
          <w:lang w:eastAsia="ru-RU" w:bidi="ar-SA"/>
        </w:rPr>
        <w:t>Вышнереутчанский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 сельсовет» Медвенского района Ку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ской области на 2019 год и плановый период 2020-2021 годы» и составляет на 2019-2021 годы </w:t>
      </w:r>
      <w:r w:rsidRPr="00AE1537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 w:bidi="ar-SA"/>
        </w:rPr>
        <w:t>334428</w:t>
      </w:r>
      <w:r w:rsidRPr="00AE1537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 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рублей, в том числе: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2019 год – 111476 рублей;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2020 год – 111476 рублей;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2021 год – 111476 рублей.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реализации муниципальной программы представлено в Приложении № 3 к программе.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Обоснование планируемых объемов ресурсов на реализацию муниципальной пр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граммы заключается в следующем: муниципальная программа обеспечивает значител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ный вклад в достижение практически всех стратегических целей, в том числе путем со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дания и поддержания благоприятных условий для роста благосостояния граждан-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получателей мер социальной поддержки в муниципальном образовании «</w:t>
      </w:r>
      <w:r w:rsidRPr="00AE1537">
        <w:rPr>
          <w:rFonts w:eastAsia="Times New Roman" w:cs="Times New Roman"/>
          <w:color w:val="040203"/>
          <w:kern w:val="0"/>
          <w:lang w:eastAsia="ru-RU" w:bidi="ar-SA"/>
        </w:rPr>
        <w:t>Вышнереутча</w:t>
      </w:r>
      <w:r w:rsidRPr="00AE1537">
        <w:rPr>
          <w:rFonts w:eastAsia="Times New Roman" w:cs="Times New Roman"/>
          <w:color w:val="040203"/>
          <w:kern w:val="0"/>
          <w:lang w:eastAsia="ru-RU" w:bidi="ar-SA"/>
        </w:rPr>
        <w:t>н</w:t>
      </w:r>
      <w:r w:rsidRPr="00AE1537">
        <w:rPr>
          <w:rFonts w:eastAsia="Times New Roman" w:cs="Times New Roman"/>
          <w:color w:val="040203"/>
          <w:kern w:val="0"/>
          <w:lang w:eastAsia="ru-RU" w:bidi="ar-SA"/>
        </w:rPr>
        <w:t>ский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 сельсовет» Медвенского района Курской области.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firstLine="27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V. Управление реализацией программы и контроль за ходом ее выполнения.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После утверждения Программы и открытия финансирования ее мероприятий гос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дарственный заказчик организует выполнение программных мероприятий.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Координацию деятельности по реализации Программы осуществляет Администр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ции Вышнереутчанского сельсовета Медвенского района.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Администрации Вышнереутчанского сельсовета Медвенского района в случае н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обходимости вносит предложения по уточнению и корректировке программных мер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приятий, сроков их исполнения, а также по распределению и перераспределению фина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совых средств.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Контроль за исполнением Программы осуществляет Администрация Вышнереу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Медвенского района.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val="en-US" w:eastAsia="ru-RU" w:bidi="ar-SA"/>
        </w:rPr>
        <w:t>VI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 Оценка социально-экономической эффективности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реализации Программы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Оценка эффективности реализации программы (далее – оценка) производится п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тем сравнения фактически достигнутых значений целевых индикаторов с установленными программой значениями.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Оценка достижения запланированных результатов по каждому расчетному и баз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вому показателям за отчетный период измеряется на основании процентного сопоставл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И – оценка достижения запланированных результатов;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Ф – фактически достигнутые значения целевых индикаторов;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П – плановые значения.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Фактически значения целевых индикаторов за отчетный период определяются п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тем мониторинга, включающего в себя сбор и анализ информации о выполнении показ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телей.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Оценка уровня финансирования по каждому мероприятию за отчетный период и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меряется на основании процентного сопоставления фактического финансирования за 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четный период с объемами, предусмотренными программой на соответствующий период, по следующей формуле: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Фи – оценка уровня финансирования мероприятий;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Фф – фактический уровень финансирования мероприятий;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Фп – объем финансирования мероприятия, предусматриваемый программой.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Ми – степень выполнения мероприятий программы;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Мф – количество мероприятий программы, фактически реализованных за отчетный период;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Мп – количество мероприятий программы, запланированных на отчетный период.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50305"/>
          <w:kern w:val="0"/>
          <w:lang w:eastAsia="ru-RU" w:bidi="ar-SA"/>
        </w:rPr>
        <w:lastRenderedPageBreak/>
        <w:t>ПАСПОРТ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50305"/>
          <w:kern w:val="0"/>
          <w:lang w:eastAsia="ru-RU" w:bidi="ar-SA"/>
        </w:rPr>
        <w:t>подпрограммы 1 «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Развитие мер социальной поддержки отдельных категорий гра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ж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дан муниципального образования «Вышнереутчанский сельсовет» Медвенского района Курской области</w:t>
      </w:r>
      <w:r w:rsidRPr="00AE1537">
        <w:rPr>
          <w:rFonts w:eastAsia="Times New Roman" w:cs="Times New Roman"/>
          <w:b/>
          <w:bCs/>
          <w:color w:val="050305"/>
          <w:kern w:val="0"/>
          <w:lang w:eastAsia="ru-RU" w:bidi="ar-SA"/>
        </w:rPr>
        <w:t>»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394"/>
        <w:gridCol w:w="3906"/>
      </w:tblGrid>
      <w:tr w:rsidR="00AE1537" w:rsidRPr="00AE1537" w:rsidTr="00AE1537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Наименование по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программы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«Развитие мер социальной по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держки отдельных категорий гра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дан муниципального образования «Вышнереутчанский сельсовет» Медвенского района Курской 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ласти»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Ответственный и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полнитель подпр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го сельсовета Медвенского района;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Цели подпрограммы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 повышение уровня и качества жизни граждан - получателей мер социальной поддержки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Задачи подпрогра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 выполнение обязательств гос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дарства по социальной поддержке граждан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Целевые показатели подпрограммы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 доля отдельных категорий гра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дан, которым назначены меры соц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альной поддержки в общем колич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стве граждан обратившихся за п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лучением социальной поддержки в Администрацию Вышнереутчанск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го сельсовета Медвенского района;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 количество граждан, которым у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тановлена социальная поддержка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Сроки и этапы реал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зации подпрограммы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20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2019-2021</w:t>
            </w:r>
          </w:p>
        </w:tc>
      </w:tr>
      <w:tr w:rsidR="00AE1537" w:rsidRPr="00AE1537" w:rsidTr="00AE1537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 по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программы</w:t>
            </w:r>
          </w:p>
        </w:tc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Общий объем финансирования составляет </w:t>
            </w:r>
            <w:r w:rsidRPr="00AE153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334428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 рублей, в том числе: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средства местного бюджета - </w:t>
            </w:r>
            <w:r w:rsidRPr="00AE153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334428 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рублей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средства областного бюджета - 0 рублей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средства федерального бюджета - 0 рублей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внебюджетные источники - 0 рублей</w:t>
            </w:r>
          </w:p>
        </w:tc>
      </w:tr>
    </w:tbl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val="en-US" w:eastAsia="ru-RU" w:bidi="ar-SA"/>
        </w:rPr>
        <w:t>I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 Содержание проблемы (задачи), анализ причин ее возникновения.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Меры социальной поддержки отдельных категорий граждан определены законод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тельством Курской области и муниципальными правовыми актами.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К расходным обязательствам муниципального образования «Вышнереутчанский сельсовет» Медвенского района Курской области, финансируемым из местного бюджета, законодательством отнесены меры социальной поддержки: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-выплата пенсии за выслугу лет муниципальным служащим и доплаты к пенсиям выборным должностным лицам Администрации Вышнереутчанского сельсовета Медве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ского района.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Цель подпрограммы «Развитие мер социальной поддержки отдельных категорий граждан муниципального образования «Вышнереутчанский сельсовет» Медвенского ра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она Курской области» - повышение уровня жизни граждан - получателей мер социальной поддержки.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Для достижения цели подпрограммы предстоит обеспечить решение следующей задачи: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- обеспечение обязательств государства перед получателями.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100D0F"/>
          <w:kern w:val="0"/>
          <w:lang w:eastAsia="ru-RU" w:bidi="ar-SA"/>
        </w:rPr>
        <w:t>Подпрограмма реализуется в один этап: 2019-2021 годы.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С ростом эффективности и качества оказываемых услуг будут достигнуты сл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дующие целевые показатели (индикаторы):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- количество граждан, которым установлена социальная поддержка: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2019 год – 3 чел.;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2020 год – 3 чел.;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2021 год – 3 чел.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- доля отдельных категорий граждан, которым назначены меры социальной по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держки в общем количестве граждан обратившихся за получением социальной поддержки в Администрацию Вышнереутчанского сельсовета Медвенского района: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2019 год – 100%;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2020 год – 100%;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2021 год – 100%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- выполнение мероприятий по расходам на программу в целях обеспечения выпо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л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нения функций органами местного самоуправления: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2019 год – 111476 рублей;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2020 год – 111476 рублей;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2021 год – 111476 рублей.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III. Перечень подпрограммных мероприятий, сроки их реализации и объёмы финансирования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40203"/>
          <w:kern w:val="0"/>
          <w:lang w:eastAsia="ru-RU" w:bidi="ar-SA"/>
        </w:rPr>
        <w:t>Подпрограмма предполагает следующие мероприятия: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- Выплата пенсий за выслугу лет и доплат к пенсиям муниципальных служащих</w:t>
      </w:r>
    </w:p>
    <w:p w:rsidR="00AE1537" w:rsidRPr="00AE1537" w:rsidRDefault="00AE1537" w:rsidP="00AE1537">
      <w:pPr>
        <w:widowControl/>
        <w:suppressAutoHyphens w:val="0"/>
        <w:autoSpaceDN/>
        <w:spacing w:line="120" w:lineRule="atLeast"/>
        <w:ind w:right="2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нии № 2 к настоящей Программе.</w:t>
      </w:r>
    </w:p>
    <w:p w:rsidR="00AE1537" w:rsidRPr="00AE1537" w:rsidRDefault="00AE1537" w:rsidP="00AE1537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100D0F"/>
          <w:kern w:val="0"/>
          <w:lang w:eastAsia="ru-RU" w:bidi="ar-SA"/>
        </w:rPr>
        <w:t>Срок реализации данных мероприятий – 2019-2021 годы.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Финансирование подпрограммных мероприятий предусмотрено осуществлять за счет средств бюджета муниципального образования «Вышнереутчанский сельсовет» Ме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венского района Курской области.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реализации муниципальной программы представлено в Приложении № 3 к программе.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left="93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Приложение № 1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left="93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lastRenderedPageBreak/>
        <w:t>к муниципальной программы «Социальная поддержка граждан м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lastRenderedPageBreak/>
        <w:t>униципального образования «Вышнереутчанский сельсовет» Ме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lastRenderedPageBreak/>
        <w:t>двенского района на 2019-2021 годы»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09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2871"/>
        <w:gridCol w:w="1922"/>
        <w:gridCol w:w="824"/>
        <w:gridCol w:w="837"/>
        <w:gridCol w:w="820"/>
        <w:gridCol w:w="1392"/>
      </w:tblGrid>
      <w:tr w:rsidR="00AE1537" w:rsidRPr="00AE1537" w:rsidTr="00AE1537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53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Наименование индикат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ров и показателей Пр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29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Единица измер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ния</w:t>
            </w:r>
          </w:p>
        </w:tc>
        <w:tc>
          <w:tcPr>
            <w:tcW w:w="42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Значения индикаторов и показат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лей Программы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2019г.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2020г.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За период реализации Программы</w:t>
            </w:r>
          </w:p>
        </w:tc>
      </w:tr>
      <w:tr w:rsidR="00AE1537" w:rsidRPr="00AE1537" w:rsidTr="00AE1537">
        <w:trPr>
          <w:trHeight w:val="645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количество граждан, кот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рым установлена социал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ная поддержка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</w:tr>
      <w:tr w:rsidR="00AE1537" w:rsidRPr="00AE1537" w:rsidTr="00AE1537">
        <w:trPr>
          <w:trHeight w:val="36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доля отдельных категорий граждан, которым назн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чены меры социальной поддержки в общем кол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честве граждан обрати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шихся за получением с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циальной поддержки в Администрацию Вышн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реутчанского сельсовета Медвенского района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проценты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3.</w:t>
            </w:r>
          </w:p>
        </w:tc>
        <w:tc>
          <w:tcPr>
            <w:tcW w:w="53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выполнение мероприятий по расходам на программу в целях обеспечения в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ы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полнения функций орг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нами местного самоупра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ления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Руб.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334428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областной бю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27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334428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878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878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878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878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878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878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878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878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left="878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Пр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л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ж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ние № 2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left="878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к м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ц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пальной пр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граммы «С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ц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ал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ная по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держка гр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ждан м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ц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пального обр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зов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ния «Вышн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ча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ский сел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 xml:space="preserve">вет» 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lastRenderedPageBreak/>
        <w:t>Ме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ве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ского ра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она на 2019-2021 г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t>ды»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878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Перечень мероприятий муниципальной программы «Социальная поддержка гра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ж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дан муниципального образования «Вышнереутчанский сельсовет» Медвенского района Курской оюласти на 2019-2021 годы»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1843"/>
        <w:gridCol w:w="1345"/>
        <w:gridCol w:w="2210"/>
        <w:gridCol w:w="1442"/>
        <w:gridCol w:w="1810"/>
        <w:gridCol w:w="787"/>
        <w:gridCol w:w="820"/>
        <w:gridCol w:w="820"/>
        <w:gridCol w:w="820"/>
        <w:gridCol w:w="1460"/>
      </w:tblGrid>
      <w:tr w:rsidR="00AE1537" w:rsidRPr="00AE1537" w:rsidTr="00AE1537">
        <w:trPr>
          <w:tblCellSpacing w:w="0" w:type="dxa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Цели, пр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оритетные н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правления и з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дачи 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Сроки в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ы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полнения</w:t>
            </w:r>
          </w:p>
        </w:tc>
        <w:tc>
          <w:tcPr>
            <w:tcW w:w="12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Исполнители мер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приятий</w:t>
            </w:r>
          </w:p>
        </w:tc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Направления расходов</w:t>
            </w:r>
          </w:p>
        </w:tc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Источники ф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нансирования</w:t>
            </w:r>
          </w:p>
        </w:tc>
        <w:tc>
          <w:tcPr>
            <w:tcW w:w="38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Объемы финансирования (руб.)</w:t>
            </w:r>
          </w:p>
        </w:tc>
        <w:tc>
          <w:tcPr>
            <w:tcW w:w="2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Ожидаемый результат (в натуральном выражении - целевые зн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чения)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28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AE1537" w:rsidRPr="00AE1537" w:rsidTr="00AE153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2019г.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2020г.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2021г.</w:t>
            </w:r>
          </w:p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AE1537" w:rsidRPr="00AE1537" w:rsidTr="00AE1537">
        <w:trPr>
          <w:trHeight w:val="135"/>
          <w:tblCellSpacing w:w="0" w:type="dxa"/>
        </w:trPr>
        <w:tc>
          <w:tcPr>
            <w:tcW w:w="1444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Цель № 1 повышение уровня жизни граждан - получателей мер социальной поддержки</w:t>
            </w:r>
          </w:p>
        </w:tc>
      </w:tr>
      <w:tr w:rsidR="00AE1537" w:rsidRPr="00AE1537" w:rsidTr="00AE1537">
        <w:trPr>
          <w:trHeight w:val="135"/>
          <w:tblCellSpacing w:w="0" w:type="dxa"/>
        </w:trPr>
        <w:tc>
          <w:tcPr>
            <w:tcW w:w="1444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hd w:val="clear" w:color="auto" w:fill="FFFFFF"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Задача1: 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обеспечение обязательств государства перед получателями</w:t>
            </w:r>
            <w:r w:rsidRPr="00AE1537">
              <w:rPr>
                <w:rFonts w:eastAsia="Times New Roman" w:cs="Times New Roman"/>
                <w:color w:val="050305"/>
                <w:kern w:val="0"/>
                <w:lang w:eastAsia="ru-RU" w:bidi="ar-SA"/>
              </w:rPr>
              <w:t>.</w:t>
            </w:r>
          </w:p>
        </w:tc>
      </w:tr>
      <w:tr w:rsidR="00AE1537" w:rsidRPr="00AE1537" w:rsidTr="00AE1537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1.1.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Предоставление мер социальной поддержки 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дельным катег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риям граждан за счет средств м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стного бюджета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2019 - 2021гг.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Администрации Вышнереутчанского сельсовета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Текущие расходы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Местный бю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жет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left="-11" w:right="6" w:hanging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334428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Реализация мероприятия способствует достижению показателей, указанных в приложении №1</w:t>
            </w:r>
          </w:p>
        </w:tc>
      </w:tr>
      <w:tr w:rsidR="00AE1537" w:rsidRPr="00AE1537" w:rsidTr="00AE1537">
        <w:trPr>
          <w:trHeight w:val="60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1.2.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firstLine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Проведение ежеквартального мониторинга хода реализации программы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2019 - 2021гг.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Администрации Вышнереутчанского сельсовета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Реализация мероприятия способствует достижению показателей, указанных в приложении №1</w:t>
            </w:r>
          </w:p>
        </w:tc>
      </w:tr>
      <w:tr w:rsidR="00AE1537" w:rsidRPr="00AE1537" w:rsidTr="00AE1537">
        <w:trPr>
          <w:trHeight w:val="210"/>
          <w:tblCellSpacing w:w="0" w:type="dxa"/>
        </w:trPr>
        <w:tc>
          <w:tcPr>
            <w:tcW w:w="820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Итого по программе: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left="-11" w:right="6" w:hanging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334428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94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94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94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94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94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94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94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94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left="94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Приложение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 № 3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ind w:left="94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color w:val="000000"/>
          <w:kern w:val="0"/>
          <w:lang w:eastAsia="ru-RU" w:bidi="ar-SA"/>
        </w:rPr>
        <w:t>к муниципальной программы «Социальная поддержка гражд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lastRenderedPageBreak/>
        <w:t>ан муниципального образования «Вышнереутчанский сельсовет</w:t>
      </w:r>
      <w:r w:rsidRPr="00AE1537">
        <w:rPr>
          <w:rFonts w:eastAsia="Times New Roman" w:cs="Times New Roman"/>
          <w:color w:val="000000"/>
          <w:kern w:val="0"/>
          <w:lang w:eastAsia="ru-RU" w:bidi="ar-SA"/>
        </w:rPr>
        <w:lastRenderedPageBreak/>
        <w:t>» Медвенского района Курской области на 2019-2021 годы»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ind w:left="1020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Ресурсное обеспечение муниципальной программы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«Социальная поддержка граждан муниципального образования «Вышнереутча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</w:t>
      </w:r>
      <w:r w:rsidRPr="00AE1537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ский сельсовет» Медвенского района Курской области на 2019-2021 годы»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22"/>
        <w:gridCol w:w="1572"/>
        <w:gridCol w:w="1572"/>
        <w:gridCol w:w="1572"/>
        <w:gridCol w:w="1572"/>
      </w:tblGrid>
      <w:tr w:rsidR="00AE1537" w:rsidRPr="00AE1537" w:rsidTr="00AE1537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Источники финансиров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ния, направление расходов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Всего за п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риод реализ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ции програ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мы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1-й год реал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зации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2-й год реал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зации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3-й год реал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зации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left="-11" w:right="6" w:hanging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334428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бюджет Вышнереутча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ского сельсовета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ind w:left="-11" w:right="6" w:hanging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334428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111476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федеральный бюджет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прочие источники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AE1537" w:rsidRPr="00AE1537" w:rsidTr="00AE1537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В том числе в разрезе главных распорядителей средств бюджета Вышн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реутчанского сельсовета, ответственных за реализ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цию программы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AE1537" w:rsidRPr="00AE1537" w:rsidRDefault="00AE1537" w:rsidP="00AE153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97" name="Рисунок 9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AE153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муниципальной программы «Социальная поддержка граждан муниципального образования «Вышнереутчанский сельс</w:t>
        </w:r>
        <w:r w:rsidRPr="00AE153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</w:t>
        </w:r>
        <w:r w:rsidRPr="00AE153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вет» Медвенского района Курской области на 2019-2021 годы»</w:t>
        </w:r>
      </w:hyperlink>
      <w:r w:rsidRPr="00AE15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AE153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E153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29.11.2018 16:57. Последнее изменение: 29.11.2018 16:57.</w:t>
      </w:r>
    </w:p>
    <w:p w:rsidR="00AE1537" w:rsidRPr="00AE1537" w:rsidRDefault="00AE1537" w:rsidP="00AE153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E153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1150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AE1537" w:rsidRPr="00AE1537" w:rsidTr="00AE153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AE153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E1537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E1537" w:rsidRPr="00AE1537" w:rsidRDefault="00AE1537" w:rsidP="00AE15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AE1537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AE153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AE1537" w:rsidRDefault="00296A66" w:rsidP="00AE1537"/>
    <w:sectPr w:rsidR="00296A66" w:rsidRPr="00AE1537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844" w:rsidRDefault="002D2844" w:rsidP="00296A66">
      <w:r>
        <w:separator/>
      </w:r>
    </w:p>
  </w:endnote>
  <w:endnote w:type="continuationSeparator" w:id="0">
    <w:p w:rsidR="002D2844" w:rsidRDefault="002D2844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844" w:rsidRDefault="002D2844" w:rsidP="00296A66">
      <w:r w:rsidRPr="00296A66">
        <w:rPr>
          <w:color w:val="000000"/>
        </w:rPr>
        <w:separator/>
      </w:r>
    </w:p>
  </w:footnote>
  <w:footnote w:type="continuationSeparator" w:id="0">
    <w:p w:rsidR="002D2844" w:rsidRDefault="002D2844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2866099"/>
    <w:multiLevelType w:val="multilevel"/>
    <w:tmpl w:val="3B04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4D44"/>
    <w:rsid w:val="00296A66"/>
    <w:rsid w:val="002D2844"/>
    <w:rsid w:val="00315732"/>
    <w:rsid w:val="0033286D"/>
    <w:rsid w:val="00334821"/>
    <w:rsid w:val="003823C8"/>
    <w:rsid w:val="003E6C2E"/>
    <w:rsid w:val="004305AA"/>
    <w:rsid w:val="0045470B"/>
    <w:rsid w:val="00467304"/>
    <w:rsid w:val="00496F7A"/>
    <w:rsid w:val="004C0230"/>
    <w:rsid w:val="00543742"/>
    <w:rsid w:val="005A10D5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D485F"/>
    <w:rsid w:val="00AE1537"/>
    <w:rsid w:val="00B175ED"/>
    <w:rsid w:val="00B62383"/>
    <w:rsid w:val="00C7173F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700&amp;print=1&amp;id_mat=2490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49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16</Pages>
  <Words>2994</Words>
  <Characters>17066</Characters>
  <Application>Microsoft Office Word</Application>
  <DocSecurity>0</DocSecurity>
  <Lines>142</Lines>
  <Paragraphs>40</Paragraphs>
  <ScaleCrop>false</ScaleCrop>
  <Company/>
  <LinksUpToDate>false</LinksUpToDate>
  <CharactersWithSpaces>20020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54</cp:revision>
  <cp:lastPrinted>2019-04-04T14:53:00Z</cp:lastPrinted>
  <dcterms:created xsi:type="dcterms:W3CDTF">2023-09-30T19:07:00Z</dcterms:created>
  <dcterms:modified xsi:type="dcterms:W3CDTF">2023-10-01T06:22:00Z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