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A1" w:rsidRDefault="005710A1" w:rsidP="00BE6105">
      <w:pPr>
        <w:widowControl/>
        <w:numPr>
          <w:ilvl w:val="0"/>
          <w:numId w:val="10"/>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5710A1" w:rsidRDefault="005710A1" w:rsidP="005710A1">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утверждениис стратегии социально-экономического развития Вышнереутчанского сельсовета Медвенского района на период с 2018 по 2030 г.г.</w:t>
      </w:r>
    </w:p>
    <w:p w:rsidR="005710A1" w:rsidRDefault="005710A1" w:rsidP="005710A1">
      <w:pPr>
        <w:pStyle w:val="a8"/>
        <w:shd w:val="clear" w:color="auto" w:fill="FFFFFF"/>
        <w:spacing w:before="0" w:after="0" w:line="363" w:lineRule="atLeast"/>
        <w:ind w:left="34"/>
        <w:jc w:val="both"/>
        <w:rPr>
          <w:rFonts w:ascii="Tahoma" w:hAnsi="Tahoma" w:cs="Tahoma"/>
          <w:color w:val="000000"/>
          <w:sz w:val="12"/>
          <w:szCs w:val="12"/>
        </w:rPr>
      </w:pPr>
      <w:r>
        <w:rPr>
          <w:rStyle w:val="ab"/>
          <w:rFonts w:ascii="Arial" w:hAnsi="Arial" w:cs="Arial"/>
          <w:color w:val="000000"/>
          <w:sz w:val="27"/>
          <w:szCs w:val="27"/>
        </w:rPr>
        <w:t>РОССИЙСКАЯ ФЕДЕРАЦИЯ</w:t>
      </w:r>
    </w:p>
    <w:p w:rsidR="005710A1" w:rsidRDefault="005710A1" w:rsidP="005710A1">
      <w:pPr>
        <w:pStyle w:val="a8"/>
        <w:shd w:val="clear" w:color="auto" w:fill="FFFFFF"/>
        <w:spacing w:before="0" w:after="0" w:line="363" w:lineRule="atLeast"/>
        <w:ind w:left="23"/>
        <w:jc w:val="both"/>
        <w:rPr>
          <w:rFonts w:ascii="Tahoma" w:hAnsi="Tahoma" w:cs="Tahoma"/>
          <w:color w:val="000000"/>
          <w:sz w:val="12"/>
          <w:szCs w:val="12"/>
        </w:rPr>
      </w:pPr>
      <w:r>
        <w:rPr>
          <w:rStyle w:val="ab"/>
          <w:rFonts w:ascii="Arial" w:hAnsi="Arial" w:cs="Arial"/>
          <w:color w:val="000000"/>
          <w:sz w:val="27"/>
          <w:szCs w:val="27"/>
        </w:rPr>
        <w:t>КУРСКАЯ ОБЛАСТЬ МЕДВЕНСКИЙ РАЙОН</w:t>
      </w:r>
    </w:p>
    <w:p w:rsidR="005710A1" w:rsidRDefault="005710A1" w:rsidP="005710A1">
      <w:pPr>
        <w:pStyle w:val="a8"/>
        <w:shd w:val="clear" w:color="auto" w:fill="FFFFFF"/>
        <w:spacing w:before="0" w:after="0" w:line="363" w:lineRule="atLeast"/>
        <w:ind w:left="28"/>
        <w:jc w:val="both"/>
        <w:rPr>
          <w:rFonts w:ascii="Tahoma" w:hAnsi="Tahoma" w:cs="Tahoma"/>
          <w:color w:val="000000"/>
          <w:sz w:val="12"/>
          <w:szCs w:val="12"/>
        </w:rPr>
      </w:pPr>
      <w:r>
        <w:rPr>
          <w:rStyle w:val="ab"/>
          <w:rFonts w:ascii="Arial" w:hAnsi="Arial" w:cs="Arial"/>
          <w:color w:val="000000"/>
          <w:sz w:val="27"/>
          <w:szCs w:val="27"/>
        </w:rPr>
        <w:t>СОБРАНИЕ ДЕПУТАТОВ</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sz w:val="27"/>
          <w:szCs w:val="27"/>
        </w:rPr>
        <w:t>ВЫШНЕРЕУТЧАНСКОГО СЕЛЬСОВЕТА</w:t>
      </w:r>
    </w:p>
    <w:p w:rsidR="005710A1" w:rsidRDefault="005710A1" w:rsidP="005710A1">
      <w:pPr>
        <w:pStyle w:val="a8"/>
        <w:shd w:val="clear" w:color="auto" w:fill="FFFFFF"/>
        <w:spacing w:before="0" w:after="0" w:line="363" w:lineRule="atLeast"/>
        <w:ind w:left="23"/>
        <w:jc w:val="both"/>
        <w:rPr>
          <w:rFonts w:ascii="Tahoma" w:hAnsi="Tahoma" w:cs="Tahoma"/>
          <w:color w:val="000000"/>
          <w:sz w:val="12"/>
          <w:szCs w:val="12"/>
        </w:rPr>
      </w:pPr>
      <w:r>
        <w:rPr>
          <w:rStyle w:val="ab"/>
          <w:rFonts w:ascii="Arial" w:hAnsi="Arial" w:cs="Arial"/>
          <w:color w:val="000000"/>
          <w:sz w:val="27"/>
          <w:szCs w:val="27"/>
        </w:rPr>
        <w:t>РЕШЕНИЕ</w:t>
      </w:r>
    </w:p>
    <w:p w:rsidR="005710A1" w:rsidRDefault="005710A1" w:rsidP="005710A1">
      <w:pPr>
        <w:pStyle w:val="a8"/>
        <w:shd w:val="clear" w:color="auto" w:fill="FFFFFF"/>
        <w:spacing w:before="0" w:after="0" w:line="363" w:lineRule="atLeast"/>
        <w:ind w:left="23"/>
        <w:jc w:val="both"/>
        <w:rPr>
          <w:rFonts w:ascii="Tahoma" w:hAnsi="Tahoma" w:cs="Tahoma"/>
          <w:color w:val="000000"/>
          <w:sz w:val="12"/>
          <w:szCs w:val="12"/>
        </w:rPr>
      </w:pPr>
      <w:r>
        <w:rPr>
          <w:rStyle w:val="ab"/>
          <w:rFonts w:ascii="Arial" w:hAnsi="Arial" w:cs="Arial"/>
          <w:color w:val="000000"/>
          <w:sz w:val="27"/>
          <w:szCs w:val="27"/>
        </w:rPr>
        <w:t>от 22 мая 2018 года № 11/62</w:t>
      </w:r>
    </w:p>
    <w:p w:rsidR="005710A1" w:rsidRDefault="005710A1" w:rsidP="005710A1">
      <w:pPr>
        <w:pStyle w:val="a8"/>
        <w:shd w:val="clear" w:color="auto" w:fill="FFFFFF"/>
        <w:spacing w:before="0" w:after="0"/>
        <w:ind w:left="7467"/>
        <w:jc w:val="both"/>
        <w:rPr>
          <w:rFonts w:ascii="Tahoma" w:hAnsi="Tahoma" w:cs="Tahoma"/>
          <w:color w:val="000000"/>
          <w:sz w:val="12"/>
          <w:szCs w:val="12"/>
        </w:rPr>
      </w:pPr>
      <w:r>
        <w:rPr>
          <w:rFonts w:ascii="Tahoma" w:hAnsi="Tahoma" w:cs="Tahoma"/>
          <w:color w:val="000000"/>
          <w:sz w:val="12"/>
          <w:szCs w:val="12"/>
        </w:rPr>
        <w:t>•</w:t>
      </w:r>
      <w:r>
        <w:rPr>
          <w:rFonts w:ascii="Arial" w:hAnsi="Arial" w:cs="Arial"/>
          <w:color w:val="000000"/>
          <w:sz w:val="15"/>
          <w:szCs w:val="15"/>
        </w:rPr>
        <w:t>с</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Об утверждениис стратегии социально-экономического развития Вышнереутчанского сельсовета Медвенского района на период с 2018 по 2030 г.г.</w:t>
      </w:r>
    </w:p>
    <w:p w:rsidR="005710A1" w:rsidRDefault="005710A1" w:rsidP="005710A1">
      <w:pPr>
        <w:pStyle w:val="a8"/>
        <w:shd w:val="clear" w:color="auto" w:fill="EEEEEE"/>
        <w:spacing w:before="102" w:after="11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20"/>
        <w:jc w:val="both"/>
        <w:rPr>
          <w:rFonts w:ascii="Tahoma" w:hAnsi="Tahoma" w:cs="Tahoma"/>
          <w:color w:val="000000"/>
          <w:sz w:val="12"/>
          <w:szCs w:val="12"/>
        </w:rPr>
      </w:pPr>
      <w:r>
        <w:rPr>
          <w:rFonts w:ascii="Arial" w:hAnsi="Arial" w:cs="Arial"/>
          <w:color w:val="000000"/>
        </w:rPr>
        <w:t>Руководствуясь статьёй 28 Федерального закона от 06 октября 2003года №131-ФЗ «Об общих принципах организации органов местного самоуправления в Российской Федерации», Уставом муниципального образования «Вышнереутчанский сельсовет» Медвенского района Курской области, Собрание депутатов Вышнереутчанского сельсовета Медвенского района Курской области РЕШИЛО:</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1. Утвердить решение «Стратегия социально-экономического развития Вышнереутчанского сельсовета Медвенского района на период с 2018 по 2030 г.г.» Вышнереутчанского сельсовета Медвенского района на обсуждение граждан, проживающих на территории Вышнереутчанского сельсовета Медвенского района (Приложение 1)</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2. Настоящее Решение вступает в силу после его официального опубликования (обнародования) в установленном законом порядке.</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Председатель Собрания депутатов</w:t>
      </w:r>
    </w:p>
    <w:p w:rsidR="005710A1" w:rsidRDefault="005710A1" w:rsidP="005710A1">
      <w:pPr>
        <w:pStyle w:val="a8"/>
        <w:shd w:val="clear" w:color="auto" w:fill="EEEEEE"/>
        <w:spacing w:before="0" w:after="0"/>
        <w:ind w:firstLine="28"/>
        <w:jc w:val="both"/>
        <w:rPr>
          <w:rFonts w:ascii="Tahoma" w:hAnsi="Tahoma" w:cs="Tahoma"/>
          <w:color w:val="000000"/>
          <w:sz w:val="12"/>
          <w:szCs w:val="12"/>
        </w:rPr>
      </w:pPr>
      <w:r>
        <w:rPr>
          <w:rFonts w:ascii="Arial" w:hAnsi="Arial" w:cs="Arial"/>
          <w:color w:val="000000"/>
        </w:rPr>
        <w:t>Вышнереутчанского сельсовета В.В.Басенков</w:t>
      </w:r>
    </w:p>
    <w:p w:rsidR="005710A1" w:rsidRDefault="005710A1" w:rsidP="005710A1">
      <w:pPr>
        <w:pStyle w:val="a8"/>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Глава Вышнереутчанского сельсовета А.Г.Подтуркин</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ПРИЛОЖЕНИЕ 1</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УТВЕРЖДЕН</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решением Собрания депутатов</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Вышнереутчанского сельсовета</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Медвенского района</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от 22.05.2018 г. №11/62</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sz w:val="27"/>
          <w:szCs w:val="27"/>
        </w:rPr>
        <w:lastRenderedPageBreak/>
        <w:t>ПРОЕКТ</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sz w:val="27"/>
          <w:szCs w:val="27"/>
        </w:rPr>
        <w:t>СТРАТЕГИИ СОЦИАЛЬНО-ЭКОНОМИЧЕСКОГО РАЗВИТИЯ ВЫШНЕРЕУТЧАНСКОГО СЕЛЬСОВЕТА МЕДВЕНСКОГО РАЙОНА НА ПЕРИОД С 2018 ПО 2030 г.г.</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sz w:val="27"/>
          <w:szCs w:val="27"/>
        </w:rPr>
        <w:t>ВВЕДЕНИЕ</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Основной задачей деятельности Администрации Вышнереутчанского сельсовета Медвенского района Курской области является создание условий и предпосылок для повышения качества жизни населения Вышнереутчанского сельсовета. Для того чтобы добиться положительного социально-экономического эффекта, повысить привлекательность муниципального образования «Вышнереутчанский сельсовет» Медвенского района (далее - муниципальное образование),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Формирование стратегии Вышнереутчанского сельсовета Медвенского района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стратегическом плане социально-экономического развития Вышнереутчанского сельсовета Медвенского района определяются генеральная цель развития, основные приоритеты развития и планы достижения поставленных целей. В качестве первого горизонта стратегического плана установлен 2030 год.</w:t>
      </w:r>
    </w:p>
    <w:p w:rsidR="005710A1" w:rsidRDefault="005710A1" w:rsidP="005710A1">
      <w:pPr>
        <w:pStyle w:val="a8"/>
        <w:shd w:val="clear" w:color="auto" w:fill="EEEEEE"/>
        <w:spacing w:before="102" w:after="11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1. СОЦИАЛЬНО-ЭКОНОМИЧЕСКОЕ ПОЛОЖЕНИЕ ВЫШНЕРЕУТЧАНСКОГО СЕЛЬСОВЕТА МЕДВЕНСКОГО РАЙОНА</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1.1. Общее географическое описание</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Муниципальное образование – Вышнереутчанский сельсовет расположен в северной части Медвенского района Курской области. Общая площадь Вышнереутчанского сельсовета Медвенского района составляет 80</w:t>
      </w:r>
      <w:r>
        <w:rPr>
          <w:rFonts w:ascii="Arial" w:hAnsi="Arial" w:cs="Arial"/>
          <w:color w:val="00B0F0"/>
        </w:rPr>
        <w:t> </w:t>
      </w:r>
      <w:r>
        <w:rPr>
          <w:rFonts w:ascii="Arial" w:hAnsi="Arial" w:cs="Arial"/>
          <w:color w:val="000000"/>
        </w:rPr>
        <w:t>кв. км</w:t>
      </w:r>
      <w:r>
        <w:rPr>
          <w:rFonts w:ascii="Arial" w:hAnsi="Arial" w:cs="Arial"/>
          <w:color w:val="00B0F0"/>
        </w:rPr>
        <w:t>.</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Территория сельсовета определена границами, существующими на момент принятия Устава Вышнереутчанского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Вышнереутчанского сельсовета (Приложения №1 Устава).</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Расстояние от административного центра сельсовета с. Верхний Реутец до районного центра (пгт Медвенка) – 12 км.</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Ближайшая железнодорожная пассажирская станция находится в г. Обоянь.</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 xml:space="preserve">В состав Вышнереутчанского сельсовета включено восемь населенных пунктов: с. Верхний Реутец, п. Реутчанский, х. Ивановка, х. Карташовка, х. Горки, </w:t>
      </w:r>
      <w:r>
        <w:rPr>
          <w:rFonts w:ascii="Arial" w:hAnsi="Arial" w:cs="Arial"/>
          <w:color w:val="000000"/>
        </w:rPr>
        <w:lastRenderedPageBreak/>
        <w:t>х.Птица, х.Заегорьевкий, х. Замаленький. Административным центром является с. Верхний Реутец. Численность населения на начало 2018 г. составила 970 человек.</w:t>
      </w:r>
    </w:p>
    <w:p w:rsidR="005710A1" w:rsidRDefault="005710A1" w:rsidP="005710A1">
      <w:pPr>
        <w:pStyle w:val="a8"/>
        <w:shd w:val="clear" w:color="auto" w:fill="EEEEEE"/>
        <w:spacing w:before="0" w:after="0" w:line="102" w:lineRule="atLeast"/>
        <w:ind w:firstLine="709"/>
        <w:jc w:val="both"/>
        <w:rPr>
          <w:rFonts w:ascii="Tahoma" w:hAnsi="Tahoma" w:cs="Tahoma"/>
          <w:color w:val="000000"/>
          <w:sz w:val="12"/>
          <w:szCs w:val="12"/>
        </w:rPr>
      </w:pPr>
      <w:r>
        <w:rPr>
          <w:rFonts w:ascii="Arial" w:hAnsi="Arial" w:cs="Arial"/>
          <w:color w:val="000000"/>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5710A1" w:rsidRDefault="005710A1" w:rsidP="005710A1">
      <w:pPr>
        <w:pStyle w:val="a8"/>
        <w:shd w:val="clear" w:color="auto" w:fill="EEEEEE"/>
        <w:spacing w:before="0" w:after="0" w:line="102" w:lineRule="atLeast"/>
        <w:jc w:val="both"/>
        <w:rPr>
          <w:rFonts w:ascii="Tahoma" w:hAnsi="Tahoma" w:cs="Tahoma"/>
          <w:color w:val="000000"/>
          <w:sz w:val="12"/>
          <w:szCs w:val="12"/>
        </w:rPr>
      </w:pPr>
      <w:r>
        <w:rPr>
          <w:rFonts w:ascii="Arial" w:hAnsi="Arial" w:cs="Arial"/>
          <w:color w:val="000000"/>
        </w:rPr>
        <w:t>С точки зрения внешних транспортных связей муниципальное образование имеет хорошее расположение.</w:t>
      </w:r>
    </w:p>
    <w:p w:rsidR="005710A1" w:rsidRDefault="005710A1" w:rsidP="005710A1">
      <w:pPr>
        <w:pStyle w:val="a8"/>
        <w:shd w:val="clear" w:color="auto" w:fill="EEEEEE"/>
        <w:spacing w:before="0" w:after="0" w:line="102" w:lineRule="atLeast"/>
        <w:ind w:firstLine="851"/>
        <w:jc w:val="both"/>
        <w:rPr>
          <w:rFonts w:ascii="Tahoma" w:hAnsi="Tahoma" w:cs="Tahoma"/>
          <w:color w:val="000000"/>
          <w:sz w:val="12"/>
          <w:szCs w:val="12"/>
        </w:rPr>
      </w:pPr>
      <w:r>
        <w:rPr>
          <w:rFonts w:ascii="Arial" w:hAnsi="Arial" w:cs="Arial"/>
          <w:color w:val="000000"/>
        </w:rPr>
        <w:t>Внешние транспортные связи Вышнереутчанского сельсовета осуществляются автомобильным транспортом.</w:t>
      </w:r>
    </w:p>
    <w:p w:rsidR="005710A1" w:rsidRDefault="005710A1" w:rsidP="005710A1">
      <w:pPr>
        <w:pStyle w:val="a8"/>
        <w:shd w:val="clear" w:color="auto" w:fill="EEEEEE"/>
        <w:spacing w:before="0" w:after="0" w:line="102" w:lineRule="atLeast"/>
        <w:ind w:firstLine="851"/>
        <w:jc w:val="both"/>
        <w:rPr>
          <w:rFonts w:ascii="Tahoma" w:hAnsi="Tahoma" w:cs="Tahoma"/>
          <w:color w:val="000000"/>
          <w:sz w:val="12"/>
          <w:szCs w:val="12"/>
        </w:rPr>
      </w:pPr>
      <w:r>
        <w:rPr>
          <w:rFonts w:ascii="Arial" w:hAnsi="Arial" w:cs="Arial"/>
          <w:color w:val="000000"/>
        </w:rPr>
        <w:t>Основной въезд на территорию с.Верхний Реутец осуществляется по автомобильной дороге межмуниципального значения "Крым"-Гахово”.</w:t>
      </w:r>
    </w:p>
    <w:p w:rsidR="005710A1" w:rsidRDefault="005710A1" w:rsidP="005710A1">
      <w:pPr>
        <w:pStyle w:val="a8"/>
        <w:shd w:val="clear" w:color="auto" w:fill="EEEEEE"/>
        <w:spacing w:before="0" w:after="0" w:line="102" w:lineRule="atLeast"/>
        <w:ind w:firstLine="851"/>
        <w:jc w:val="both"/>
        <w:rPr>
          <w:rFonts w:ascii="Tahoma" w:hAnsi="Tahoma" w:cs="Tahoma"/>
          <w:color w:val="000000"/>
          <w:sz w:val="12"/>
          <w:szCs w:val="12"/>
        </w:rPr>
      </w:pPr>
      <w:r>
        <w:rPr>
          <w:rFonts w:ascii="Arial" w:hAnsi="Arial" w:cs="Arial"/>
          <w:color w:val="000000"/>
        </w:rPr>
        <w:t>Муниципальное образование газифицировано на 90%. Основным видом деятельности населения является сельское хозяйство.</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границах всех населенных пунктов необходимо провести инвентаризацию существующих земельных участков, которые являются брошенными, невостребованными и могут являться потенциальными территориями для строительства муниципального жилья, площадок для комплексной жилой застройки с привлечением инвестиционных средств, а также индивидуального жилищного строительства.</w:t>
      </w:r>
    </w:p>
    <w:p w:rsidR="005710A1" w:rsidRDefault="005710A1" w:rsidP="005710A1">
      <w:pPr>
        <w:pStyle w:val="a8"/>
        <w:shd w:val="clear" w:color="auto" w:fill="EEEEEE"/>
        <w:spacing w:before="50" w:after="0"/>
        <w:ind w:firstLine="851"/>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1.2.Оценка социально-экономической ситуации</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1.2.1 Экономика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Основными (преобладающими) производственными направлениями хозяйственной деятельности на территории муниципального образования «Вышнереутчанский сельсовет» Медвенского района является производство сельскохозяйственной продукции.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На территории муниципального образования «Вышнереутчанский сельсовет» Медвенского района осуществляют производственную деятельность 1 сельскохозяйственная организация, 2 крестьянских (фермерских) хозяйств и 389 личных подсобных хозяйств.</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Потребительский рынок</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На территории Вышнереутчанского сельсовета осуществляют деятельность предприятия розничной торговли: 1 торговая точка - ПО «Медвенское», 4 торговые точки – индивидуальные предприниматели, аптека.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Благоустройство</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601"/>
        <w:jc w:val="both"/>
        <w:rPr>
          <w:rFonts w:ascii="Tahoma" w:hAnsi="Tahoma" w:cs="Tahoma"/>
          <w:color w:val="000000"/>
          <w:sz w:val="12"/>
          <w:szCs w:val="12"/>
        </w:rPr>
      </w:pPr>
      <w:r>
        <w:rPr>
          <w:rFonts w:ascii="Arial" w:hAnsi="Arial" w:cs="Arial"/>
          <w:color w:val="000000"/>
        </w:rPr>
        <w:t>Благоустройством занимается Администрация Вышнереутчанского сельсовета. Благоустройство территории включает в себя устройство тротуаров, озеленение территории, обустройство детской игровой площадки, мест отдыха для жителей, ликвидация несанкционированных свалок на территории, опиловка аварийных деревьев, благоустройство памятников и кладбищ, совершенствование эстетического вида территории Вышнереутчанского сельсовета.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Хозяйственно-питьевое и производственное водоснабжение муниципального образования осуществляется за счёт подземных вод. Водоснабжение осуществляется из артезианских скважин. Подача воды производится электрическими насосами производительностью 6 – 10 куб.м/час с накоплением в башнях Рожновского и передачей потребителям по сетям в т.ч. и на водозаборные колонки. Протяженность водопроводных сетей составляет около 30км. Износ водопроводных сетей – 50–100%.</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Жилищный фонд не полностью обеспечен централизованным водоснабжением. В индивидуальной жилой застройке преобладают децентрализованные водозаборы, состоящие из одной или нескольких скважин.</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xml:space="preserve">Водоснабжение осуществляется из централизованных водозаборных сооружений. Подача воды производится электрическими насосами </w:t>
      </w:r>
      <w:r>
        <w:rPr>
          <w:rFonts w:ascii="Arial" w:hAnsi="Arial" w:cs="Arial"/>
          <w:color w:val="000000"/>
        </w:rPr>
        <w:lastRenderedPageBreak/>
        <w:t>производительностью 25-40 куб.м/час, с накоплением в водонапорной башне и подачей потребителям по магистральным сетям в т.ч. и на водонапорные колонки.</w:t>
      </w:r>
    </w:p>
    <w:p w:rsidR="005710A1" w:rsidRDefault="005710A1" w:rsidP="005710A1">
      <w:pPr>
        <w:pStyle w:val="a8"/>
        <w:shd w:val="clear" w:color="auto" w:fill="EEEEEE"/>
        <w:spacing w:before="50" w:after="0" w:line="120" w:lineRule="atLeast"/>
        <w:ind w:firstLine="601"/>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Связь</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Муниципальное образование «Вышнереутчанский сельсовет» Медвенского района обеспечено следующим спектром услуг связи: цифровое телевидение, спутниковое телевидение (население приобретает спутниковые антенны для увеличения количества принимаемых каналов и для повышения качества вещания), ИНТЕРНЕТ «Ростелеком», телефонная связь.</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Охват населения телевизионным вещанием составляет 100%.</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Рынок труда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Вышнереутчанского сельсовета.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Общая численность населения, проживающего на сегодняшний день в Любачанском сельсовете, составляет 970 человека. Средний состав семьи – 3 человека.</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1.2.2.Социальная сфера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Здравоохранение, образование, культура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На территории Вышнереутчанский сельсовет» Медвенского района функционируют следующие объекты социальной сферы: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МОБУ «Вышнереутчанская средняя общеобразовательная школа»;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Верхнеутчанский ФАП (Фельдшерско - акушерский пункт);</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МКУК «Вышнереутчанский сельский Дом культуры»;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филиал МКУК «Вышнереутчанский сельский Дом культуры»;.</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2. ПРОБЛЕМЫ СОЦИАЛЬНО-ЭКОНОМИЧЕСКОГО РАЗВИТИЯ ВЫШНЕРЕУТЧАНСКОГО СЕЛЬСОВЕТА МЕДВЕНСКОГО РАЙОНА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Основной проблемой в социально-экономическом развитии поселения является отсутствие градообразующих предприятий.</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2.1. Экономические проблемы</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2"/>
        <w:gridCol w:w="2931"/>
        <w:gridCol w:w="3027"/>
      </w:tblGrid>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sz w:val="12"/>
                <w:szCs w:val="12"/>
              </w:rPr>
              <w:t>№ </w:t>
            </w:r>
            <w:r>
              <w:rPr>
                <w:rFonts w:ascii="Arial" w:hAnsi="Arial" w:cs="Arial"/>
              </w:rP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Проблема</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Причины</w:t>
            </w:r>
          </w:p>
        </w:tc>
      </w:tr>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Отсутствие рабочих мест на территории поселения</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Отсутствие градообразующего предприятия, недостаточная развитость малого и среднего бизнеса.</w:t>
            </w:r>
          </w:p>
        </w:tc>
      </w:tr>
      <w:tr w:rsidR="005710A1" w:rsidTr="005710A1">
        <w:trPr>
          <w:trHeight w:val="630"/>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2.</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Отсутствие эффективного механизма сбыта произведённой в ЛПХ продукции.</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Отсутствие системной работы со стороны органа местного самоуправления.</w:t>
            </w:r>
          </w:p>
        </w:tc>
      </w:tr>
    </w:tbl>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2.2. Социальные проблемы</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2"/>
        <w:gridCol w:w="3063"/>
        <w:gridCol w:w="2895"/>
      </w:tblGrid>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sz w:val="12"/>
                <w:szCs w:val="12"/>
              </w:rPr>
              <w:t>№ </w:t>
            </w:r>
            <w:r>
              <w:rPr>
                <w:rFonts w:ascii="Arial" w:hAnsi="Arial" w:cs="Arial"/>
              </w:rP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Проблема</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Причины</w:t>
            </w:r>
          </w:p>
        </w:tc>
      </w:tr>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Низкий уровень доходов населения</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 xml:space="preserve">Отсутствие рабочих мест на территории </w:t>
            </w:r>
            <w:r>
              <w:rPr>
                <w:rFonts w:ascii="Arial" w:hAnsi="Arial" w:cs="Arial"/>
              </w:rPr>
              <w:lastRenderedPageBreak/>
              <w:t>поселения</w:t>
            </w:r>
          </w:p>
        </w:tc>
      </w:tr>
    </w:tbl>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2.3.Инфраструктурные проблемы</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2"/>
        <w:gridCol w:w="2703"/>
        <w:gridCol w:w="3255"/>
      </w:tblGrid>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sz w:val="12"/>
                <w:szCs w:val="12"/>
              </w:rPr>
              <w:t>№ </w:t>
            </w:r>
            <w:r>
              <w:rPr>
                <w:rFonts w:ascii="Arial" w:hAnsi="Arial" w:cs="Arial"/>
              </w:rP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Проблема</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Причины</w:t>
            </w:r>
          </w:p>
        </w:tc>
      </w:tr>
      <w:tr w:rsidR="005710A1" w:rsidTr="005710A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Отсутствует конкуренция в сфере торговли, неразвиты бытовые  и платные услуги.</w:t>
            </w:r>
          </w:p>
        </w:tc>
        <w:tc>
          <w:tcPr>
            <w:tcW w:w="4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Низкий уровень доходов населения. Отсутствие системной работы органа власти по вовлечению населения в предпринимательскую деятельность.</w:t>
            </w:r>
          </w:p>
        </w:tc>
      </w:tr>
    </w:tbl>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Из общей численности населения число трудоспособных составляет 440 чел., пенсионеров – 375 чел., детей 141 чел.</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возрастной структуре преобладающая доля (50%) принадлежит населению трудоспособного возраста, что свидетельствует о достаточности трудовых ресурсов.</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Вывод: В настоящее время в поселении трудовые ресурсы не обеспечены рабочими местами в достаточном количестве.</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3. ОЦЕНКА КОНКУРЕНТНЫХ ПРЕИМУЩЕСТВ Вышнереутчанского СЕЛЬСОВЕТА МЕДВЕНСКОГО РАЙОНА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Конкурентные преимущества Вышнереутчанского сельсовета:</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-наличие транспортных путей (автодорог) до областного центра;</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-наличие трудовых ресурсов, в т.ч. работающих за пределами поселения</w:t>
      </w:r>
    </w:p>
    <w:p w:rsidR="005710A1" w:rsidRDefault="005710A1" w:rsidP="005710A1">
      <w:pPr>
        <w:pStyle w:val="a8"/>
        <w:shd w:val="clear" w:color="auto" w:fill="EEEEEE"/>
        <w:spacing w:before="102" w:after="11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4. СТРАТЕГИЧЕСКИЙ АНАЛИЗ РАЗВИТИЯ ВЫШНЕРЕУТЧАНСКОГО СЕЛЬСОВЕТА МЕДВЕНСКОГО РАЙОНА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Основой для стратегического анализа развития Вышнереутчанского сельсовета являются: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уровень социально-экономического развития;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проблемы развития;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имеющийся потенциал и конкурентные преимущества;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меры поддержки, действующие на областном и районном уровнях.</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Анализ развития Вышнереутчанского сельсовета</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Сильные (S), слабые (W) стороны, возможности (O) и угрозы (T)</w:t>
      </w:r>
    </w:p>
    <w:tbl>
      <w:tblPr>
        <w:tblW w:w="65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38"/>
        <w:gridCol w:w="2622"/>
        <w:gridCol w:w="2424"/>
      </w:tblGrid>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Style w:val="ad"/>
                <w:rFonts w:ascii="Arial" w:hAnsi="Arial" w:cs="Arial"/>
              </w:rPr>
              <w:t>Фактор</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Style w:val="ad"/>
                <w:rFonts w:ascii="Arial" w:hAnsi="Arial" w:cs="Arial"/>
              </w:rPr>
              <w:t>Сильные стороны</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Style w:val="ad"/>
                <w:rFonts w:ascii="Arial" w:hAnsi="Arial" w:cs="Arial"/>
              </w:rPr>
              <w:t>Слабые стороны</w:t>
            </w:r>
          </w:p>
        </w:tc>
      </w:tr>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Трудовые ресурсы</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Наличие трудовых ресурсов</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Недостаток рабочих мест: жители вынуждены работать за пределами поселения.</w:t>
            </w:r>
          </w:p>
          <w:p w:rsidR="005710A1" w:rsidRDefault="005710A1">
            <w:pPr>
              <w:pStyle w:val="a8"/>
              <w:spacing w:before="0" w:after="0"/>
              <w:jc w:val="both"/>
              <w:rPr>
                <w:sz w:val="12"/>
                <w:szCs w:val="12"/>
              </w:rPr>
            </w:pPr>
            <w:r>
              <w:rPr>
                <w:rFonts w:ascii="Arial" w:hAnsi="Arial" w:cs="Arial"/>
              </w:rPr>
              <w:t>Недостаток квалифицированных кадров, их старение.</w:t>
            </w:r>
          </w:p>
        </w:tc>
      </w:tr>
      <w:tr w:rsidR="005710A1" w:rsidTr="005710A1">
        <w:trPr>
          <w:trHeight w:val="1545"/>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Инфраструктура</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Наличие системы водоснабжения и газоснабжения.</w:t>
            </w:r>
          </w:p>
          <w:p w:rsidR="005710A1" w:rsidRDefault="005710A1">
            <w:pPr>
              <w:pStyle w:val="a8"/>
              <w:spacing w:before="0" w:after="0"/>
              <w:jc w:val="both"/>
              <w:rPr>
                <w:sz w:val="12"/>
                <w:szCs w:val="12"/>
              </w:rPr>
            </w:pPr>
            <w:r>
              <w:rPr>
                <w:rFonts w:ascii="Arial" w:hAnsi="Arial" w:cs="Arial"/>
              </w:rPr>
              <w:t>Ежегодное благоустройство территории.</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Износ жилищного фонда и инженерных коммуникаций.</w:t>
            </w:r>
          </w:p>
          <w:p w:rsidR="005710A1" w:rsidRDefault="005710A1">
            <w:pPr>
              <w:pStyle w:val="a8"/>
              <w:spacing w:before="0" w:after="0"/>
              <w:jc w:val="both"/>
              <w:rPr>
                <w:sz w:val="12"/>
                <w:szCs w:val="12"/>
              </w:rPr>
            </w:pPr>
            <w:r>
              <w:rPr>
                <w:rFonts w:ascii="Arial" w:hAnsi="Arial" w:cs="Arial"/>
              </w:rPr>
              <w:t xml:space="preserve">Отсутствие альтернативных организаций по </w:t>
            </w:r>
            <w:r>
              <w:rPr>
                <w:rFonts w:ascii="Arial" w:hAnsi="Arial" w:cs="Arial"/>
              </w:rPr>
              <w:lastRenderedPageBreak/>
              <w:t>обслуживанию жилищного фонда.</w:t>
            </w:r>
          </w:p>
        </w:tc>
      </w:tr>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lastRenderedPageBreak/>
              <w:t>Дороги</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Ежегодное проведение работ по ремонту автодорог.</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Отсутствие спецмашин и механизмов, необходимых для благоустройства территории.</w:t>
            </w:r>
          </w:p>
        </w:tc>
      </w:tr>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Транспорт и связь</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Транспортная связь между поселением районным и областным центром – регулярное автобусное сообщение.</w:t>
            </w:r>
          </w:p>
          <w:p w:rsidR="005710A1" w:rsidRDefault="005710A1">
            <w:pPr>
              <w:pStyle w:val="a8"/>
              <w:spacing w:before="0" w:after="0"/>
              <w:jc w:val="both"/>
              <w:rPr>
                <w:sz w:val="12"/>
                <w:szCs w:val="12"/>
              </w:rPr>
            </w:pPr>
            <w:r>
              <w:rPr>
                <w:rFonts w:ascii="Arial" w:hAnsi="Arial" w:cs="Arial"/>
              </w:rPr>
              <w:t>Наличие предприятия почтовой связи.</w:t>
            </w:r>
          </w:p>
          <w:p w:rsidR="005710A1" w:rsidRDefault="005710A1">
            <w:pPr>
              <w:pStyle w:val="a8"/>
              <w:spacing w:before="0" w:after="0"/>
              <w:jc w:val="both"/>
              <w:rPr>
                <w:sz w:val="12"/>
                <w:szCs w:val="12"/>
              </w:rPr>
            </w:pPr>
            <w:r>
              <w:rPr>
                <w:rFonts w:ascii="Arial" w:hAnsi="Arial" w:cs="Arial"/>
              </w:rPr>
              <w:t>Наличие Интернета, сотовой связи</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Требуется асфальтирование улиц с грунтовым и/или щебеночным покрытием</w:t>
            </w:r>
          </w:p>
          <w:p w:rsidR="005710A1" w:rsidRDefault="005710A1">
            <w:pPr>
              <w:pStyle w:val="a8"/>
              <w:spacing w:before="0" w:after="0"/>
              <w:jc w:val="both"/>
              <w:rPr>
                <w:sz w:val="12"/>
                <w:szCs w:val="12"/>
              </w:rPr>
            </w:pPr>
            <w:r>
              <w:rPr>
                <w:rFonts w:ascii="Arial" w:hAnsi="Arial" w:cs="Arial"/>
              </w:rPr>
              <w:t>Требуется организация качественной мобильной связи покрытия территории сельсовета</w:t>
            </w:r>
          </w:p>
        </w:tc>
      </w:tr>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Потребительский рынок</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Наличие магазинов с товарами повседневного спроса</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Обновление ассортимента товаров</w:t>
            </w:r>
          </w:p>
        </w:tc>
      </w:tr>
      <w:tr w:rsidR="005710A1" w:rsidTr="005710A1">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Социальная сфера</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Обеспеченность учреждениями социальной сферы:</w:t>
            </w:r>
          </w:p>
          <w:p w:rsidR="005710A1" w:rsidRDefault="005710A1">
            <w:pPr>
              <w:pStyle w:val="a8"/>
              <w:spacing w:before="0" w:after="0"/>
              <w:ind w:firstLine="709"/>
              <w:jc w:val="both"/>
              <w:rPr>
                <w:sz w:val="12"/>
                <w:szCs w:val="12"/>
              </w:rPr>
            </w:pPr>
            <w:r>
              <w:rPr>
                <w:rFonts w:ascii="Arial" w:hAnsi="Arial" w:cs="Arial"/>
              </w:rPr>
              <w:t>-МОБУ «Вышнереутчанская средняя общеобразовательная школа»;</w:t>
            </w:r>
          </w:p>
          <w:p w:rsidR="005710A1" w:rsidRDefault="005710A1">
            <w:pPr>
              <w:pStyle w:val="a8"/>
              <w:spacing w:before="0" w:after="0"/>
              <w:ind w:firstLine="709"/>
              <w:jc w:val="both"/>
              <w:rPr>
                <w:sz w:val="12"/>
                <w:szCs w:val="12"/>
              </w:rPr>
            </w:pPr>
            <w:r>
              <w:rPr>
                <w:rFonts w:ascii="Arial" w:hAnsi="Arial" w:cs="Arial"/>
              </w:rPr>
              <w:t>-Верхнеутчанский ФАП (Фельдшерско - акушерский пункт);</w:t>
            </w:r>
          </w:p>
          <w:p w:rsidR="005710A1" w:rsidRDefault="005710A1">
            <w:pPr>
              <w:pStyle w:val="a8"/>
              <w:spacing w:before="0" w:after="0"/>
              <w:ind w:firstLine="709"/>
              <w:jc w:val="both"/>
              <w:rPr>
                <w:sz w:val="12"/>
                <w:szCs w:val="12"/>
              </w:rPr>
            </w:pPr>
            <w:r>
              <w:rPr>
                <w:rFonts w:ascii="Arial" w:hAnsi="Arial" w:cs="Arial"/>
              </w:rPr>
              <w:t>- МКУК «Вышнереутчанский сельский Дом культуры»;</w:t>
            </w:r>
          </w:p>
          <w:p w:rsidR="005710A1" w:rsidRDefault="005710A1">
            <w:pPr>
              <w:pStyle w:val="a8"/>
              <w:spacing w:before="0" w:after="0"/>
              <w:ind w:firstLine="709"/>
              <w:jc w:val="both"/>
              <w:rPr>
                <w:sz w:val="12"/>
                <w:szCs w:val="12"/>
              </w:rPr>
            </w:pPr>
            <w:r>
              <w:rPr>
                <w:rFonts w:ascii="Arial" w:hAnsi="Arial" w:cs="Arial"/>
              </w:rPr>
              <w:t>-филиал МКУК «Вышнереутчанский сельский Дом культуры»</w:t>
            </w:r>
          </w:p>
        </w:tc>
        <w:tc>
          <w:tcPr>
            <w:tcW w:w="3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710A1" w:rsidRDefault="005710A1">
            <w:pPr>
              <w:pStyle w:val="a8"/>
              <w:spacing w:before="0" w:after="0"/>
              <w:jc w:val="both"/>
              <w:rPr>
                <w:sz w:val="12"/>
                <w:szCs w:val="12"/>
              </w:rPr>
            </w:pPr>
            <w:r>
              <w:rPr>
                <w:rFonts w:ascii="Arial" w:hAnsi="Arial" w:cs="Arial"/>
              </w:rPr>
              <w:t>ФАП расположен не в равно удаленном месте от населенных пунктов</w:t>
            </w:r>
          </w:p>
          <w:p w:rsidR="005710A1" w:rsidRDefault="005710A1">
            <w:pPr>
              <w:pStyle w:val="a8"/>
              <w:spacing w:before="0" w:after="0"/>
              <w:jc w:val="both"/>
              <w:rPr>
                <w:sz w:val="12"/>
                <w:szCs w:val="12"/>
              </w:rPr>
            </w:pPr>
            <w:r>
              <w:rPr>
                <w:rFonts w:ascii="Arial" w:hAnsi="Arial" w:cs="Arial"/>
              </w:rPr>
              <w:t>Требуется проведение текущих ремонтов всех спортивных объектов муниципального образования, всех учреждения культуры сельсовета</w:t>
            </w:r>
          </w:p>
        </w:tc>
      </w:tr>
    </w:tbl>
    <w:p w:rsidR="005710A1" w:rsidRDefault="005710A1" w:rsidP="005710A1">
      <w:pPr>
        <w:pStyle w:val="3"/>
        <w:shd w:val="clear" w:color="auto" w:fill="EEEEEE"/>
        <w:spacing w:before="0"/>
        <w:jc w:val="center"/>
        <w:rPr>
          <w:rFonts w:ascii="Tahoma" w:hAnsi="Tahoma" w:cs="Tahoma"/>
          <w:color w:val="000000"/>
          <w:sz w:val="16"/>
          <w:szCs w:val="16"/>
        </w:rPr>
      </w:pPr>
      <w:r>
        <w:rPr>
          <w:rFonts w:ascii="Arial" w:hAnsi="Arial" w:cs="Arial"/>
          <w:color w:val="000000"/>
          <w:szCs w:val="24"/>
        </w:rPr>
        <w:t>5. СТРАТЕГИЧЕСКИЕ ЦЕЛИ И ЗАДАЧИ РАЗВИТИЯ Вышнереутчанского СЕЛЬСОВЕТА МЕДВЕНСКОГО РАЙОНА НА ПЕРИОД ДО 2030 ГОДА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Привлекательность проживания населения на территории Вышнереутчанского сельсовета, включая как проживающего в настоящее время, так и новых переселенцев, будет обеспечена за счет достижения следующих стратегических целей: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формирование многоукладной и конкурентоспособной экономики, создающей квалифицированные, высокооплачиваемые рабочие места;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создание условий для повышения качества жизни населения.</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lastRenderedPageBreak/>
        <w:t>5.1. Цель 1. Формирование многоукладной и конкурентоспособной экономики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Главным инструментом достижения цели является наличие инвестиционных проектов, а также приход ключевого инвестора, проекты которого будут способствовать диверсификации экономики сельсовета. Реализация проектов повлечет развитие сопутствующих производств, увеличение количества высококвалифицированных рабочих мест.</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цели будет направлена на увеличение объемов производства и повышение уровня занятых в экономике, в результате к 2030 году в поселении будут созданы новые рабочие места.</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5.1.1. Повышение инвестиционной привлекательности Вышнереутчанского сельсовета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Предполагается организовать системную работу по привлечению инвесторов на территорию поселения, в том числе:</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переговоров с инвесторами, заявившими желание о развитие бизнес - проектов на территории поселения с целью их продвижения;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работы по формированию на территории поселения земельных участков, возможных для выкупа или передачи в аренду;</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размещение информации для инвесторов на официальном сайте муниципального образования «Вышнереутчанский сельсовет» Медвенского района;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пропаганда инвестиционной привлекательности (имиджа) поселения в средствах массовой информации;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5.1.2. Создание благоприятных условий для развития малого и среднего предпринимательства.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С целью создания условий для развития малого и среднего предпринимательства планируется: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поселка;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рациональное размещение объектов малого и среднего бизнеса на территории поселения;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оказание поддержки субъектам малого и среднего бизнеса на начальном этапе деятельности в части предоставления в аренду неиспользуемых помещений;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субъектов малого и среднего предпринимательства к участию в муниципальном и государственном заказе.</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2030 году рост количества субъектов малого предпринимательства.</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lastRenderedPageBreak/>
        <w:t>5.1.3. Улучшение качества муниципального управления, повышение его эффективности.</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целях решения поставленной задачи будут проводиться следующие мероприятия: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обеспечение сдачи в аренду субъектам малого бизнеса неиспользуемых площадей муниципальной собственности;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работа по расширению налогооблагаемой базы местных налогов (НДФЛ, налог на имущество физических лиц);</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целях совершенствования бюджетного процесса, повышения эффективности бюджетных расходов и прозрачности деятельности органа местного самоуправления предусмотрена реализация следующих мероприятий: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внедрение информационно-коммуникационных технологий в деятельность органа местного самоуправления;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внедрение программно-целевого метода планирования, мониторинга исполнения муниципальных целевых программ.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мероприятий позволит увеличить к 2030 году долю собственных доходов бюджета, долю расходов бюджета, формируемого в рамках программ.</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5.2. Создание условий для повышения качества жизни населения</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Для достижения поставленной цели необходимо решение следующих задач:</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5.2.1. Создание условий для роста доходов населения.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Повышение уровня доходов является одним из основных критериев качества жизни населения, поэтому основные усилия Администрации Вышнереутчанского сельсовета будут направлены на обеспечение занятости населения и снижение доли населения с доходами ниже величины прожиточного минимума.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Решение задачи будет обеспечиваться посредством реализации следующих мероприятий: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повышение социальной ответственности бизнеса, в т.ч. работа по легализации заработной платы, привлечение бизнеса к благотворительным акциям.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указанных мероприятий позволит к 2030 году увеличить среднемесячные денежные доходы населения и среднемесячную заработную плату, сократить долю населения, имеющего доходы ниже величины прожиточного минимума.</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5.2.2. Обеспечение улучшения здоровья населения, проведение эффективной демографической и миграционной политики.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целях улучшения здоровья и стабилизации численности населения планируется: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содействие повышению профессионального уровня медицинского персонала;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lastRenderedPageBreak/>
        <w:t>- проведение регулярной диспансеризации населения с привлечением узких специалистов в сельское поселение;</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субъектов малого предпринимательства к организации на территории поселения платных медицинских услуг (массаж, стоматологический кабинет, окулист);</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массовое привлечение населения для участия в проводимых на территории поселения оздоровительных мероприятиях, таких как «День здоровья», «Лыжня России», Спартакиада трудящихся и т.п.;</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организация демографического мониторинга населения;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Для пополнения кадрового резерва планируется использовать миграционный прирост и привлечение рабочей силы из соседних поселений по мере создания новых рабочих мест. Привлечение мигрантов трудоспособного и детородного возраста с семьями позволит обеспечить в 2030 году численность населения.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Для привлечения переселенцев в поселение планируются следующие меры: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оказание помощи в урегулировании вопросов занятости, организации расселения, социальной и психологической адаптации;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обеспечение земельными участками за счет передачи в аренду.</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Результатом реализации мероприятий в сфере улучшения здоровья и демографической политики станет снижение к 2030 году естественной убыли населения за счёт снижения смертности и увеличения рождаемости.</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5.2.3. Обеспечение населения услугами культуры, физической культуры, спорта, торговли, бытовыми услугами.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Для решения поставленной задачи будет осуществляться реализация следующих мероприятий.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сфере культуры: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укрепление материально-технической базы МКУК Вышнереутчанский СДК и его филиала с привлечением внебюджетных средств:</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текущего ремонта, капитального ремонта зданий;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оснащение современными техническими средствами для проведения дискотек, а также музыкальными инструментами;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организация участия представителей поселения в районных, межрайонных и областных фестивалях народного творчества.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сфере физической культуры и спорта: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организация участия представителей поселения в районных, межрайонных спортивных мероприятиях (эстафета здоровья, соревнования по футболу, соревнования по шашкам, шахматам, настольному теннису);</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субъектов малого бизнеса к организации волейбольной и футбольной секций.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данных мероприятий позволит повысить качество предоставляемых услуг в сфере культуры, увеличить долю населения, участвующего в культурно-досуговых мероприятиях, систематически занимающегося физкультурой и спортом, увеличить продажу товаров.</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lastRenderedPageBreak/>
        <w:t>5.2.4. Обеспечение населения жильем, развитие инженерной, жилищно-коммунальной инфраструктуры, благоустройство территории</w:t>
      </w:r>
      <w:r>
        <w:rPr>
          <w:rFonts w:ascii="Arial" w:hAnsi="Arial" w:cs="Arial"/>
          <w:color w:val="000000"/>
        </w:rPr>
        <w:t>.</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целях обеспечения населения доступным и комфортным жильем планируется реализация следующих мероприятий: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населения к участию в реализации жилищных программ;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выделение земельных участков под жилищное строительство.</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данных мероприятий позволит улучшить жилищные условия, увеличить обеспеченность населения жильем.</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сфере развития инженерной, коммунальной инфраструктуры, благоустройства территории планируется: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ремонт водопроводных сетей;</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содействие внедрению энергосберегающих технологий, установка приборов учета воды, электроэнергии;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дальнейшее поддержание в хорошем состоянии улично-дорожной сети поселения;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работ по ликвидации несанкционированных свалок ТБО;</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привлечение средств юридических и физических лиц на благоустройство поселения;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проведение поселенческого смотра-конкурса по благоустройству, участие в районных и областных конкурсах.</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мероприятий в сфере модернизации жилищно-коммунального хозяйства позволит к 2030 году улучшить условия проживания населения, обеспечить долю населения, потребляющего качественную питьевую воду на уровне 100 %.</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6. ИНВЕСТИЦИОННЫЕ ПРОЕКТЫ.</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6.1. Проекты в сфере малого бизнеса.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сфере малого бизнеса до 2030 г. будут реализованы следующие проекты:</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организация предоставления медицинских услуг;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организация работы спортивных секций (волейбольной и футбольной).</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7. МОНИТОРИНГ РЕАЛИЗАЦИИ СТРАТЕГИЧЕСКОГО ПЛАНА</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7</w:t>
      </w:r>
      <w:r>
        <w:rPr>
          <w:rStyle w:val="ab"/>
          <w:rFonts w:ascii="Arial" w:hAnsi="Arial" w:cs="Arial"/>
          <w:b w:val="0"/>
          <w:bCs w:val="0"/>
          <w:color w:val="000000"/>
        </w:rPr>
        <w:t>.</w:t>
      </w:r>
      <w:r>
        <w:rPr>
          <w:rStyle w:val="ab"/>
          <w:rFonts w:ascii="Arial" w:hAnsi="Arial" w:cs="Arial"/>
          <w:color w:val="000000"/>
        </w:rPr>
        <w:t>1. Основные этапы реализации Стратегического плана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Реализация Стратегического плана условно разбивается на два этапа.</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I этап «Масштабное инвестирование» (2018-2022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Данный этап предусматривает реализацию мероприятий, направленных на привлечение инвестиций и развитие экономики, в том числе:</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-формирование благоприятного инвестиционного климата– 2020 год;</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-проведение подготовительных мероприятий для реализации инвестиционных проектов – 2021 год;</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II этап «Ускоренное развитие человеческого капитала, повышение качества жизни» (2023-2030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результате развития экономики поселения за счет создания квалифицированных высокооплачиваемых рабочих мест появятся предпосылки для развития человеческого капитала. На втором этапе планируется: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ускоренное развитие малого предпринимательства – 2023-2027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повышение товарности – 2023-2030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повышение доходов населения – 2023-2030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улучшение качества торгового обслуживания населения, развитие сферы услуг – 2018-2023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обеспечение населения качественными услугами здравоохранения, образования, культуры, физкультуры и спорта – 2018-2023 гг.;</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повышение комфортности проживания населения за счет формирования современных услуг ЖКХ и связи – 2022-2030 гг.</w:t>
      </w:r>
    </w:p>
    <w:p w:rsidR="005710A1" w:rsidRDefault="005710A1" w:rsidP="005710A1">
      <w:pPr>
        <w:pStyle w:val="a8"/>
        <w:shd w:val="clear" w:color="auto" w:fill="EEEEEE"/>
        <w:spacing w:before="0" w:after="0"/>
        <w:jc w:val="both"/>
        <w:rPr>
          <w:rFonts w:ascii="Tahoma" w:hAnsi="Tahoma" w:cs="Tahoma"/>
          <w:color w:val="000000"/>
          <w:sz w:val="12"/>
          <w:szCs w:val="12"/>
        </w:rPr>
      </w:pPr>
      <w:r>
        <w:rPr>
          <w:rStyle w:val="ab"/>
          <w:rFonts w:ascii="Arial" w:hAnsi="Arial" w:cs="Arial"/>
          <w:color w:val="000000"/>
        </w:rPr>
        <w:t>7.2. Механизмы реализации Стратегического плана</w:t>
      </w:r>
    </w:p>
    <w:p w:rsidR="005710A1" w:rsidRDefault="005710A1" w:rsidP="005710A1">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Основными механизмами реализации Стратегического плана в среднесрочной перспективе являются: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lastRenderedPageBreak/>
        <w:t>- Программа социально-экономического развития поселения;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целевые программы поселения.</w:t>
      </w:r>
    </w:p>
    <w:p w:rsidR="005710A1" w:rsidRDefault="005710A1" w:rsidP="005710A1">
      <w:pPr>
        <w:pStyle w:val="a8"/>
        <w:shd w:val="clear" w:color="auto" w:fill="EEEEEE"/>
        <w:spacing w:before="0" w:after="0"/>
        <w:jc w:val="both"/>
        <w:rPr>
          <w:rFonts w:ascii="Tahoma" w:hAnsi="Tahoma" w:cs="Tahoma"/>
          <w:color w:val="000000"/>
          <w:sz w:val="12"/>
          <w:szCs w:val="12"/>
        </w:rPr>
      </w:pPr>
      <w:r>
        <w:rPr>
          <w:rFonts w:ascii="Arial" w:hAnsi="Arial" w:cs="Arial"/>
          <w:color w:val="000000"/>
        </w:rPr>
        <w:t>7</w:t>
      </w:r>
      <w:r>
        <w:rPr>
          <w:rStyle w:val="ab"/>
          <w:rFonts w:ascii="Arial" w:hAnsi="Arial" w:cs="Arial"/>
          <w:color w:val="000000"/>
        </w:rPr>
        <w:t>.3. Проведение мониторинга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Основной целью мониторинга является обеспечение реализации и постоянное поддержание актуальности Стратегического плана развития.</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В ходе мониторинга Стратегического плана будут решаться следующие задачи:</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оценка степени достижения целей Стратегического плана;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оценка степени реализации задач;</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 оценка степени выполнения целевых индикаторов целей и задач Стратегического плана.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Итоги мониторинга подводятся один раз в год с выводами о степени достижения целей и необходимости корректировки Стратегического плана.</w:t>
      </w:r>
    </w:p>
    <w:p w:rsidR="005710A1" w:rsidRDefault="005710A1" w:rsidP="005710A1">
      <w:pPr>
        <w:pStyle w:val="a8"/>
        <w:shd w:val="clear" w:color="auto" w:fill="EEEEEE"/>
        <w:spacing w:before="0" w:after="0"/>
        <w:ind w:firstLine="709"/>
        <w:jc w:val="both"/>
        <w:rPr>
          <w:rFonts w:ascii="Tahoma" w:hAnsi="Tahoma" w:cs="Tahoma"/>
          <w:color w:val="000000"/>
          <w:sz w:val="12"/>
          <w:szCs w:val="12"/>
        </w:rPr>
      </w:pPr>
      <w:r>
        <w:rPr>
          <w:rFonts w:ascii="Arial" w:hAnsi="Arial" w:cs="Arial"/>
          <w:color w:val="000000"/>
        </w:rPr>
        <w:t>Общий ход реализации Стратегического плана контролируется Администрацией Вышнереутчанского сельсовета Медвенского района.</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pStyle w:val="a8"/>
        <w:shd w:val="clear" w:color="auto" w:fill="FFFFFF"/>
        <w:spacing w:before="312" w:after="0"/>
        <w:ind w:left="28"/>
        <w:jc w:val="both"/>
        <w:rPr>
          <w:rFonts w:ascii="Tahoma" w:hAnsi="Tahoma" w:cs="Tahoma"/>
          <w:color w:val="000000"/>
          <w:sz w:val="12"/>
          <w:szCs w:val="12"/>
        </w:rPr>
      </w:pPr>
      <w:r>
        <w:rPr>
          <w:rFonts w:ascii="Tahoma" w:hAnsi="Tahoma" w:cs="Tahoma"/>
          <w:color w:val="000000"/>
          <w:sz w:val="12"/>
          <w:szCs w:val="12"/>
        </w:rPr>
        <w:t> </w:t>
      </w:r>
    </w:p>
    <w:p w:rsidR="005710A1" w:rsidRDefault="005710A1" w:rsidP="005710A1">
      <w:pPr>
        <w:shd w:val="clear" w:color="auto" w:fill="EEEEEE"/>
        <w:rPr>
          <w:rFonts w:ascii="Tahoma" w:hAnsi="Tahoma" w:cs="Tahoma"/>
          <w:color w:val="000000"/>
          <w:sz w:val="12"/>
          <w:szCs w:val="12"/>
        </w:rPr>
      </w:pPr>
    </w:p>
    <w:p w:rsidR="005710A1" w:rsidRDefault="005710A1" w:rsidP="005710A1">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83" name="Рисунок 18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Об утверждениис стратегии социально-экономического развития Вышнереутчанского сельсовета Медвенского района на период с 2018 по 2030 г.г.</w:t>
        </w:r>
      </w:hyperlink>
      <w:r>
        <w:rPr>
          <w:rFonts w:ascii="Tahoma" w:hAnsi="Tahoma" w:cs="Tahoma"/>
          <w:color w:val="000000"/>
          <w:sz w:val="12"/>
          <w:szCs w:val="12"/>
        </w:rPr>
        <w:t> </w:t>
      </w:r>
      <w:r>
        <w:rPr>
          <w:rStyle w:val="sizefile"/>
          <w:rFonts w:ascii="Tahoma" w:hAnsi="Tahoma" w:cs="Tahoma"/>
          <w:color w:val="999999"/>
          <w:sz w:val="12"/>
          <w:szCs w:val="12"/>
        </w:rPr>
        <w:t>[0.23 Kb]</w:t>
      </w:r>
    </w:p>
    <w:p w:rsidR="005710A1" w:rsidRDefault="005710A1" w:rsidP="005710A1">
      <w:pPr>
        <w:shd w:val="clear" w:color="auto" w:fill="EEEEEE"/>
        <w:jc w:val="center"/>
        <w:rPr>
          <w:rFonts w:ascii="Tahoma" w:hAnsi="Tahoma" w:cs="Tahoma"/>
          <w:color w:val="999999"/>
          <w:sz w:val="10"/>
          <w:szCs w:val="10"/>
        </w:rPr>
      </w:pPr>
      <w:r>
        <w:rPr>
          <w:rFonts w:ascii="Tahoma" w:hAnsi="Tahoma" w:cs="Tahoma"/>
          <w:color w:val="999999"/>
          <w:sz w:val="10"/>
          <w:szCs w:val="10"/>
        </w:rPr>
        <w:t>Создан: 27.06.2018 08:02. Последнее изменение: 27.06.2018 08:02.</w:t>
      </w:r>
    </w:p>
    <w:p w:rsidR="005710A1" w:rsidRDefault="005710A1" w:rsidP="005710A1">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1296</w:t>
      </w:r>
    </w:p>
    <w:tbl>
      <w:tblPr>
        <w:tblW w:w="5000" w:type="pct"/>
        <w:jc w:val="center"/>
        <w:tblCellSpacing w:w="75" w:type="dxa"/>
        <w:tblCellMar>
          <w:left w:w="0" w:type="dxa"/>
          <w:right w:w="0" w:type="dxa"/>
        </w:tblCellMar>
        <w:tblLook w:val="04A0"/>
      </w:tblPr>
      <w:tblGrid>
        <w:gridCol w:w="4827"/>
        <w:gridCol w:w="4827"/>
      </w:tblGrid>
      <w:tr w:rsidR="005710A1" w:rsidTr="005710A1">
        <w:trPr>
          <w:tblCellSpacing w:w="75" w:type="dxa"/>
          <w:jc w:val="center"/>
        </w:trPr>
        <w:tc>
          <w:tcPr>
            <w:tcW w:w="2500" w:type="pct"/>
            <w:vAlign w:val="center"/>
            <w:hideMark/>
          </w:tcPr>
          <w:p w:rsidR="005710A1" w:rsidRDefault="005710A1">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5710A1" w:rsidRDefault="005710A1">
            <w:r>
              <w:t>305002, г. Курск, ул. М.Горького, 65 А-3, офис 7</w:t>
            </w:r>
            <w:r>
              <w:br/>
              <w:t>E-mail: </w:t>
            </w:r>
            <w:hyperlink r:id="rId11" w:history="1">
              <w:r>
                <w:rPr>
                  <w:rStyle w:val="ac"/>
                  <w:color w:val="AAAAAA"/>
                </w:rPr>
                <w:t>icrk@mail.ru</w:t>
              </w:r>
            </w:hyperlink>
          </w:p>
        </w:tc>
      </w:tr>
    </w:tbl>
    <w:p w:rsidR="00296A66" w:rsidRPr="005710A1" w:rsidRDefault="00296A66" w:rsidP="005710A1"/>
    <w:sectPr w:rsidR="00296A66" w:rsidRPr="005710A1"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05" w:rsidRDefault="00BE6105" w:rsidP="00296A66">
      <w:r>
        <w:separator/>
      </w:r>
    </w:p>
  </w:endnote>
  <w:endnote w:type="continuationSeparator" w:id="0">
    <w:p w:rsidR="00BE6105" w:rsidRDefault="00BE6105"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05" w:rsidRDefault="00BE6105" w:rsidP="00296A66">
      <w:r w:rsidRPr="00296A66">
        <w:rPr>
          <w:color w:val="000000"/>
        </w:rPr>
        <w:separator/>
      </w:r>
    </w:p>
  </w:footnote>
  <w:footnote w:type="continuationSeparator" w:id="0">
    <w:p w:rsidR="00BE6105" w:rsidRDefault="00BE6105"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4522144"/>
    <w:multiLevelType w:val="multilevel"/>
    <w:tmpl w:val="CE5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5"/>
  </w:num>
  <w:num w:numId="4">
    <w:abstractNumId w:val="9"/>
  </w:num>
  <w:num w:numId="5">
    <w:abstractNumId w:val="8"/>
  </w:num>
  <w:num w:numId="6">
    <w:abstractNumId w:val="4"/>
  </w:num>
  <w:num w:numId="7">
    <w:abstractNumId w:val="2"/>
  </w:num>
  <w:num w:numId="8">
    <w:abstractNumId w:val="6"/>
  </w:num>
  <w:num w:numId="9">
    <w:abstractNumId w:val="0"/>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34842"/>
    <w:rsid w:val="000C741E"/>
    <w:rsid w:val="0011291C"/>
    <w:rsid w:val="00113F59"/>
    <w:rsid w:val="0013071E"/>
    <w:rsid w:val="001972AD"/>
    <w:rsid w:val="001A2C30"/>
    <w:rsid w:val="001F5BF8"/>
    <w:rsid w:val="00216141"/>
    <w:rsid w:val="002337F7"/>
    <w:rsid w:val="00234D44"/>
    <w:rsid w:val="00296A66"/>
    <w:rsid w:val="002B1444"/>
    <w:rsid w:val="00315732"/>
    <w:rsid w:val="0033286D"/>
    <w:rsid w:val="00334821"/>
    <w:rsid w:val="003647D5"/>
    <w:rsid w:val="003823C8"/>
    <w:rsid w:val="0038286B"/>
    <w:rsid w:val="003948E9"/>
    <w:rsid w:val="003E6C2E"/>
    <w:rsid w:val="00413F19"/>
    <w:rsid w:val="00425FF5"/>
    <w:rsid w:val="004305AA"/>
    <w:rsid w:val="0045307D"/>
    <w:rsid w:val="0045470B"/>
    <w:rsid w:val="00466093"/>
    <w:rsid w:val="00467304"/>
    <w:rsid w:val="00496F7A"/>
    <w:rsid w:val="004C0230"/>
    <w:rsid w:val="004F0767"/>
    <w:rsid w:val="00543742"/>
    <w:rsid w:val="005710A1"/>
    <w:rsid w:val="00590BCC"/>
    <w:rsid w:val="0059658A"/>
    <w:rsid w:val="005A10D5"/>
    <w:rsid w:val="005D1ADB"/>
    <w:rsid w:val="006610F5"/>
    <w:rsid w:val="00685183"/>
    <w:rsid w:val="006A3FB8"/>
    <w:rsid w:val="006C6CC0"/>
    <w:rsid w:val="006E5D81"/>
    <w:rsid w:val="0074030B"/>
    <w:rsid w:val="00746B8E"/>
    <w:rsid w:val="007B17FC"/>
    <w:rsid w:val="007F6AD2"/>
    <w:rsid w:val="008B1AA3"/>
    <w:rsid w:val="008B4125"/>
    <w:rsid w:val="008E454F"/>
    <w:rsid w:val="008F6812"/>
    <w:rsid w:val="00907AD7"/>
    <w:rsid w:val="00913BF5"/>
    <w:rsid w:val="009249A0"/>
    <w:rsid w:val="009A6BBE"/>
    <w:rsid w:val="009C30A7"/>
    <w:rsid w:val="009D7E72"/>
    <w:rsid w:val="009E2DBB"/>
    <w:rsid w:val="009E44B3"/>
    <w:rsid w:val="00A16F84"/>
    <w:rsid w:val="00A73E2C"/>
    <w:rsid w:val="00A764AB"/>
    <w:rsid w:val="00A8002A"/>
    <w:rsid w:val="00A87823"/>
    <w:rsid w:val="00AC15EC"/>
    <w:rsid w:val="00AD485F"/>
    <w:rsid w:val="00AE1537"/>
    <w:rsid w:val="00B175ED"/>
    <w:rsid w:val="00B34F10"/>
    <w:rsid w:val="00B62383"/>
    <w:rsid w:val="00BE6105"/>
    <w:rsid w:val="00C33E08"/>
    <w:rsid w:val="00C7173F"/>
    <w:rsid w:val="00C8163B"/>
    <w:rsid w:val="00CF337E"/>
    <w:rsid w:val="00D300DD"/>
    <w:rsid w:val="00D37F38"/>
    <w:rsid w:val="00D53FFB"/>
    <w:rsid w:val="00D64D49"/>
    <w:rsid w:val="00DB0115"/>
    <w:rsid w:val="00DB74B1"/>
    <w:rsid w:val="00E3089F"/>
    <w:rsid w:val="00E55DC8"/>
    <w:rsid w:val="00E81E9B"/>
    <w:rsid w:val="00E851F3"/>
    <w:rsid w:val="00EA60A5"/>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1866&amp;print=1&amp;id_mat=2251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2513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11</Pages>
  <Words>4005</Words>
  <Characters>22831</Characters>
  <Application>Microsoft Office Word</Application>
  <DocSecurity>0</DocSecurity>
  <Lines>190</Lines>
  <Paragraphs>53</Paragraphs>
  <ScaleCrop>false</ScaleCrop>
  <Company/>
  <LinksUpToDate>false</LinksUpToDate>
  <CharactersWithSpaces>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96</cp:revision>
  <cp:lastPrinted>2019-04-04T14:53:00Z</cp:lastPrinted>
  <dcterms:created xsi:type="dcterms:W3CDTF">2023-09-30T19:07:00Z</dcterms:created>
  <dcterms:modified xsi:type="dcterms:W3CDTF">2023-10-01T06:58:00Z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