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41" w:rsidRPr="00744741" w:rsidRDefault="00744741" w:rsidP="0006620B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744741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Стандартов по осуществлению внутреннего муниципального финансового контроля в Вышнереутчанском сельсовете Медвенского района Курской области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744741" w:rsidRPr="00744741" w:rsidRDefault="00744741" w:rsidP="00744741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744741" w:rsidRPr="00744741" w:rsidRDefault="00744741" w:rsidP="00744741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744741" w:rsidRPr="00744741" w:rsidRDefault="00744741" w:rsidP="00744741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744741" w:rsidRPr="00744741" w:rsidRDefault="00744741" w:rsidP="00744741">
      <w:pPr>
        <w:widowControl/>
        <w:shd w:val="clear" w:color="auto" w:fill="FFFFFF"/>
        <w:suppressAutoHyphens w:val="0"/>
        <w:autoSpaceDN/>
        <w:spacing w:before="50"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744741" w:rsidRPr="00744741" w:rsidRDefault="00744741" w:rsidP="00744741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23.12.2019г. № 101-па</w:t>
      </w:r>
    </w:p>
    <w:p w:rsidR="00744741" w:rsidRPr="00744741" w:rsidRDefault="00744741" w:rsidP="00744741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Стандартов по осуществл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нию внутреннего муниципального финанс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вого контроля в Вышнереутчанском сельс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вете Медвенского района Курской области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 w:line="102" w:lineRule="atLeast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 w:line="102" w:lineRule="atLeast"/>
        <w:ind w:right="3459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right="-2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пунктом 3 статьи 269.2 Бюджетного кодекса Ро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сийской Федерации, Порядком осуществления полномочий по внутренн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му муниципальному финансовому контролю Вышнереутчанского сельс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вета Медвенского района, утвержденным постановлением Администрации Вышнереутчанского сельсовета Медвенского района от ---2019 № --па, руководствуясь Уставом муниципального образования «Вышнереутча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ский сельсовета» Медвенского района, Администрация Вышнереутчанск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сельсовета Медвенского района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Стандарты по осуществлению внутреннего муниц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финансового контроля в Вышнереутчанском сельсовете Ме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Признать утратившим силу постановление Администрации Вы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от 01.09.2017г. № 105-па «Об утверждении Стандартов по осуществлению внутреннего муниц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финансового контроля в Администрации Вышнереутчанского сельсовета Медвенского района».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«Вышнереутчанский сельсовет» Медвенского района Курской обла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в сети «Интернет».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Утверждены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 101-па от 23.12.2019г.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lastRenderedPageBreak/>
        <w:t>Стандарты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 осуществлению внутреннего муниципального финансового контроля в Вышнереутчанском сельсовете Медвенского района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Общие положения</w:t>
      </w:r>
    </w:p>
    <w:p w:rsidR="00744741" w:rsidRPr="00744741" w:rsidRDefault="00744741" w:rsidP="0006620B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06620B">
      <w:pPr>
        <w:widowControl/>
        <w:numPr>
          <w:ilvl w:val="1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06620B">
      <w:pPr>
        <w:widowControl/>
        <w:numPr>
          <w:ilvl w:val="2"/>
          <w:numId w:val="11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Настоящие Стандарты осуществления внутреннего муниципального финансового контроля (далее - Стандарты) разработаны во исполнение пункта 3 статьи 269.2 Бюджетного кодекса Российской Федерации, в соответствии с Поря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ком осуществления полномочий по внутреннему муниципальному финансовому контролю Вышнереутчанского сельсовета Медвенского района, утвержденным 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становлением Администрации Вышнереутчанского сельсовета Медвенского ра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она от 13 мая 2014 года № 48-па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 Внутренний муниципальный финансовый контроль осуществляется орг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ном внутреннего финансового контроля (должностным лицом) Администрации Вышнереутчанского сельсовета Медвенского района Курской области (далее – 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министрация Вышнереутчанского сельсовета) в соответствии с Бюджетным коде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сом Российской Федерации, федеральными законами, иными нормативными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вовыми актами Российской Федерации, законами и иными нормативными прав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 Курской области, муниципальными правовыми актами Вышнереу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Медвенского района Курской области (далее – Вышнереу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3. Понятия и термины, используемые настоящими Стандартами, применяю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ся в значениях, определенных Бюджетным кодексом Российской Федерации и 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рядком.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4. Стандарты определяют основные принципы и единые требования к ос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ществлению органом внутреннего муниципального финансового контроля полн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мочий по: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внутреннему муниципальному финансовому контролю в сфере бюджетных правоотношений;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внутреннему муниципальному финансовому контролю в сфере закупок для обеспечения нужд, предусмотренному частью 8 статьи 99 Федерального закона от 05.04.2013 № 44-ФЗ «О контрактной системе в сфере закупок товаров, работ, 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луг для обеспечения государственных и муниципальных нужд» (далее – Фед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ральный закон о контрактной системе);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5. Деятельность по контролю осуществляется в отношении следующих об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ектов внутреннего муниципального финансового контроля (далее – объекты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троля):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главные распорядители (распорядители, получатели) бюджетных средств Вышнереутчанского сельсовета, главные администраторы (администраторы) дох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дов бюджета Вышнереутчанского сельсовета, главные администраторы (админ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страторы) источников финансирования дефицита бюджета Вышнереутчанского сельсовета;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финансовые органы (главные распорядители (распорядители) и получат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ли средств бюджета, которому предоставлены межбюджетные трансферты) в ча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ти соблюдения ими целей, порядка и условий предоставления межбюджетных трансфертов, бюджетных кредитов, предоставленных из другого бюджета бю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жетной системы Российской Федерации, а также достижения результативности 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пользования указанных средств, соответствующих целевым показателям и инд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каторам, предусмотренным государственными (муниципальными) программами;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-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товаров, работ, услуг для нужд Вышнереутчанского сельсовета в соответствии с Федеральным законом о контрактной системе.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му муниципальному финансовому контролю (далее - деятельность по контролю), определяющие качество, эффективность и результативность контрольных мер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приятий, а также обеспечивающие целостность, взаимосвязанность, последов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2.Стандарты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2.1.Стандарт № 1 «Законность деятельности органа внутреннего муниципального финансового контроля»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2.1.1. Стандарт «Законность деятельности органа внутреннего муниципал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2.1.2. Под законностью деятельности органа внутреннего муниципального финансового контроля понимается обязанность должностных лиц органа внутре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него муниципального финансового контроля при осуществлении деятельности по контролю выполнять свои функции и полномочия в точном соответствии с норм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ми и правилами, установленными законодательством Российской Федерации, 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конодательством Курской области, муниципальными правовыми акт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ми Вышнереутчанского сельсовета.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2.1.3. Должностными лицами органа внутреннего муниципального финанс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вого контроля, осуществляющими деятельность по контролю, являются: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руководитель органа внутреннего муниципального финансового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заместитель руководителя органа внутреннего муниципального финанс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вого контроля, в обязанности которого входят вопросы внутреннего муниципал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ного финансового контроля (далее - заместитель руководителя);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муниципальные служащие, замещающие должности муниципальной слу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бы Вышнереутчанского сельсовета, на которых возложено осуществление вну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реннего муниципального финансового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2.1.4. Должностные лица, имеют право: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запрашивать и получать на основании мотивированного запроса в пис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запрашивать и получать от объектов контроля и их должностных лиц об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яснения, в том числе письменные, информацию и материалы по вопросам, возн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при осуществлении плановых и внеплановых выездных проверок (ревизий) беспрепятственно по предъявлении служебных удостоверений и копии распор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жения Главы Вышнереутчанского сельсовета 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проводить экспертизы, необходимые при осуществлении контрольных 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роприятий, и (или) привлекать независимых экспертов для проведения таких эк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пертиз;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выдавать представления, предписания об устранении выявленных нар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шений в случаях и порядке, предусмотренных законодательством Российской 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осуществлять производство по делам об административных правонаруш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ниях в порядке, установленном законодательством Российской Федерации об 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министративных правонарушениях;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обращаться в суд с исковыми заявлениями о возмещении ущерба, прич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ненного Амосовскому сельсовету нарушением бюджетного законодательства Ро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 и иных нормативных правовых актов в сфере бюджетных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воотношений.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2.1.5. При осуществлении деятельности по контролю в отношении расходов местного бюджета, связанных с осуществлением закупок для обеспечения нужд Вышнереутчанского сельсовета, в рамках одного контрольного мероприятия могут быть реализованы полномочия по внутреннему муниципальному финанс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вому контролю в сфере бюджетных правоотношений и в сфере закупок для мун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ципальных нужд Вышнереутчанского сельсовета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2.2.Стандарт № 2 «Ответственность и обязанности в деятельности по контролю»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2.2.1. Стандарт «Ответственность и обязанности в деятельности по контр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лю» определяет требования к организации деятельности органа внутреннего 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ниципального финансового контроля и его должностных лиц, осуществляющих деятельность по контролю.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2.2.3. При осуществлении деятельности по контролю должностные лица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гана внутреннего муниципального финансового контроля обязаны: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явлению и пресечению нарушений в установленной сфере деятельности;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соблюдать требования нормативных правовых актов в установленной сф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ре деятельности;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проводить контрольные мероприятия в соответствии с настоящими Ста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дартами;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знакомить руководителя (уполномоченное должностное лицо) объекта контроля (далее - представитель объекта контроля) с копией приказа о провед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при выявлении факта совершения действия (бездействия), содержащего признаки состава преступления, направлять в правоохранительные органы 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формацию о таком факте и (или) документы и иные материалы, подтверждающие такой факт.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2.3.Стандарт № 3 «Конфиденциальность деятельности органа внутреннего муниципального финансового контроля»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2.3.1. Стандарт «Конфиденциальность деятельности органа внутреннего 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ниципального финансового контроля» определяет требования к организации де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 органа внутреннего муниципального финансового контроля, обеспеч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вающей конфиденциальность и сохранность информации, полученной при осущ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ствлении деятельности по контролю.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2.3.2. Орган внутреннего муниципального финансового контроля и его должностные лица обязаны не разглашать информацию, составляющую комме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ческую, служебную, иную охраняемую законом тайну, полученную в ходе пров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дения контрольного мероприятия, за исключением случаев, установленных зак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нодательством Российской Федерации.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2.3.3. Информация, получаемая органом внутреннего муниципального 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нансового контроля при осуществлении деятельности по контролю, подлежит 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пользованию органом внутреннего муниципального финансового контроля и его должностными лицами только для выполнения возложенных на них функций.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2.4.Стандарт № 4 «Планирование деятельности по контролю»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нансового контроля, обеспечивающей проведение планомерного, эффективного контроля с наименьшими затратами ресурсов.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2.4.2. Деятельность по контролю подразделяется на плановую и внеплан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вую и осуществляется посредством проведения плановых и внеплановых пров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рок, а также проведения только в рамках полномочий органа внутреннего мун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финансового контроля в сфере бюджетных правоотношений плановых и внеплановых ревизий и обследований.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Проверки подразделяются на: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выездные;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камеральные;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встречные проверки, проводимые в рамках выездных и (или) камеральных проверок в целях установления и (или) подтверждения фактов, связанных с де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тельностью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го контроля на очередной финансовый год (далее - План). Формирование Плана осуществляется с учетом информации о планируемых (проводимых) иными орг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нами идентичных контрольных мероприятиях в целях исключения дублирования деятельности по контролю.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2.4.4. План утверждается Главой Вышнереутчанского сельсовета в соотве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ствии с установленной формой ежегодно до начала следующего календарного г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 План включается следующая информация: метод контрольного меропри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тия; тема контрольного мероприятия; наименование объекта контроля; срок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ведения контрольного мероприятия; проверяемый период.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2.4.5. Плановые проверки в отношении одного из объектов контроля, ук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реннего муниципального финансового контроля не чаще одного раза в 6 месяцев.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2.4.6. Внеплановые контрольные мероприятия проводятся при: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наличии поручения Главы Вышнереутчанского сельсовета, обращения прокуратуры Медвенского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получении обращения участника закупки либо осуществляющих общес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купок и ее членов, уполномоченного органа, уполномоченного учреждения, сп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циализированной организации;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поступлении информации о нарушении законодательства Российской 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 и иных нормативных правовых актов в сфере бюджетных правоотнош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ний и о контрактной системе в сфере закупок;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истечение срока исполнения ранее выданного предписания.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2.4.7. При планировании определяются приоритеты, цели и виды контрол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ных мероприятий, их объемы, а также необходимые для их осуществления ресу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сы (трудовые, технические, материальные и финансовые).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риалов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2.4.9. Составлению планов и программ контрольных мероприятий (далее - Программа) предшествует предварительное изучение объектов контроля на осн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 доступной информации, включая ознакомление с законодательством, относ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щимся к деятельности объектов контроля, в том числе учредительными докуме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2.5. Стандарт № 5 «Организация и проведение контрольного мер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приятия»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2.5.3. Контрольное мероприятие проводится на основании распоряжения Главы Вышнереутчанского сельсовета о его проведении.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2.5.4. Подготовку проекта распоряжения о проведении контрольного мер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приятия осуществляют должностные лица органа внутреннего муниципального финансового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Подготовка проекта распоряжения о проведении внепланового контрольн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го мероприятия осуществляется в срок не позднее, чем за 5 рабочих дней до дня начала проведения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 является правовым основанием для проведения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2.5.5. В распоряжении указывается: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метод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тема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наименование объекта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срок проведения (дата начала и окончания)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проверяемый период;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основание проведения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 о проведении контрольного мероприятия подписывается Гл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вой Вышнереутчанского сельсовета и регистрируется.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мероприятия, и утверждается Главой Вышнереутчанского сельсовета.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2.5.7. Программа контрольного мероприятия должна содержать: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наименование объекта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метод проведения контрольного мероприятия (проверка, ревизия или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следование);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вид контрольного мероприятия (плановое или внеплановое);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форма проверки: камеральная или выездная (при проведении проверок);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проверяемый период;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срок проведения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перечень основных вопросов, подлежащих проверке, анализу;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срок представления проекта акта проверки (ревизии), заключения по 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зультатам обследования.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2.5.8. Внесение изменений в Программу осуществляется на основании до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ладной записки должностного лица, на которого возложено осуществление вну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реннего муниципального финансового контроля, с изложением причин необход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мости внесения таких изменений.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2.5.9. 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просам, подлежащим проверке, на основании Программы, путем направления 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ответствующих запросов, а также посредством систематизации информации, отн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сящейся к предмету контрольного мероприятия, размещенной в автоматизирова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2.5.10. О проведении планового контрольного мероприятия объекту контр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ля не позднее, чем за 7 рабочих дней до дня начала проведения контрольного 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роприятия направляется уведомление о проведении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Уведомление о проведении контрольного мероприятия подписывается Гл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вой Вышнереутчанского сельсовета и направляется объекту контроля почтовым отправлением с уведомлением о вручении либо иным доступным способом, обе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Уведомление о проведении контрольного мероприятия в обязательном 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рядке должно содержать: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основание проведения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метод проведения контрольного мероприятия (проверка, ревизия или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следование);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предмет проверки, ревизии;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проверяемая сфера деятельности объекта контроля (при проведении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следования);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форма проверки: камеральная или выездная (при проведении проверок);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проверяемый период;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срок проведения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сведения о необходимости организации рабочих мест для лиц, осущест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ляющих контрольное мероприятие, на время проведения выездного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Запрос должен содержать четкое изложение поставленных вопросов, пер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чень необходимых к истребованию документов, материалов и сведений, срок их представления.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Срок представления информации, документов и материалов исчисляется с даты получения такого запроса объектом контроля. При этом указанный срок не может быть менее 3 рабочих дней.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2.5.11. Срок проведения контрольного мероприятия не может превышать 45 рабочих дней.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чих дней.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Основаниями продления срока контрольного мероприятия являются: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получение в ходе проведения проверки (ревизии) информации от прав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охранительных, контролирующих органов либо из иных источников, свидетельс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вующей о наличии у объекта контроля нарушений бюджетного законодательства, требующих дополнительной проверки (ревизии);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2.5.13. Допускается приостановление проведения контрольного меропри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тия по мотивированному обращению проверяющего по следующим основаниям: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проведение встречной проверки и (или) обследования;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отсутствие или неудовлетворительное состояние бухгалтерского (бюдже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четности;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организация и проведение экспертиз;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исполнение запросов;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непредставление объектом контроля информации, документов и матери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лов и (или) представления неполного комплекта истребуемых информации, док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 и материалов и (или) воспрепятствования проведению контрольного 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роприятия, и (или) уклонения от проведения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На время приостановления проведения контрольного мероприятия течение его срока прерывается.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2.5.14. Решение о возобновлении проведения контрольного мероприятия принимается Главой Вышнереутчанского сельсовета в течение 3 рабочих дней 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сле устранения объектом контроля и (или) прекращения действия основания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остановления проведения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2.5.15. Решение о продлении срока, приостановлении (возобновлении)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2.5.16. Контрольное мероприятие может быть завершено раньше срока, 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тановленного приказом, при досрочном рассмотрении должностным лицом, упо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номоченным на осуществление внутреннего муниципального контроля всего 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речня вопросов, подлежащих изучению.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2.5.17. Результаты проверки (ревизии) оформляются актом проверки (рев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зии), который подписывается Главой Вышнереутчанского сельсовета, проверя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щим, представителями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2.5.18. Акт проверки, ревизии состоит из вводной, описательной и заключ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тельной частей.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Акт проверки, ревизии имеет сквозную нумерацию страниц, в нем не допу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каются помарки, подчистки и иные исправления. Показатели, выраженные в ин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странной валюте, приводятся в акте проверки, ревизии в этой валюте и в сумме рублевого эквивалента, рассчитанного по официальному курсу Центрального ба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ка Российской Федерации на день совершения соответствующих операций.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Вводная часть акта проверки, ревизии должна содержать следующие свед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а) наименование документа (акт проверки, ревизии);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б) дата и номер акта проверки, ревизии;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в) место составления акта проверки, ревизии;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г) основание проведения проверки, ревизии;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д) предмет проверки, ревизии;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е) проверяемый период;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ж) фамилия, инициалы и должность руководителя и членов ревизионной группы;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з) сведения об объекте контроля: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полное и краткое наименование объекта контроля, его идентификацио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ный номер налогоплательщика (ИНН), номер и дата свидетельства о внесении 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писи в Единый государственный реестр юридических лиц, ведомственная прина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лежность;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основные виды деятельности;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фамилия, инициалы руководителя объекта контроля и главного бухгалт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ра, период работы, телефоны;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иные данные, необходимые для полной характеристики объекта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и) способ проведения проверки, ревизии;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к) запись о факте проведения встречных проверок.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2.5.19. Описательная часть акта проверки, ревизии должна состоять из ра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делов в соответствии с вопросами, указанными в программе проверки, ревизии, и содержать данные о выполненных хозяйственных и финансовых операциях,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верку, ревизию, приводится перечень непредставленных документов.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2.5.20. Заключительная часть акта должна содержать обобщенную инфо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2.5.21. Результаты проверки, ревизии, излагаемые в акте проверки, рев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зии, должны подтверждаться документами, результатами контрольных действий и встречных проверок, письменными объяснениями должностных, материально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В описании каждого нарушения, выявленного в ходе проверки, ревизии, должны быть указаны положения законов и иных нормативных правовых актов 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или их отдельных положений, которые нарушены, за какой период, в чем выраз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2.5.22. В акт проверки, ревизии не допускается включение различного рода выводов, предположений и фактов, не подтвержденных документами или резул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татами проверки, ревизии.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2.5.23. К акту проверок, ревизий помимо акта встречной проверки прилаг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ются документы, полученные в результате контрольных действий, результаты эк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пертиз (исследований), фото-, видео- и аудиоматериалы.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2.5.24. Копия акта проверки, ревизии в течение 3 рабочих дней со дня его подписания вручается объекту контроля с сопроводительным письмом за подп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сью Главы Вышнереутчанского сельсовета, либо направляется заказным почтовым отправлением с уведомлением о вручении или иным способом, свидетельству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щим о дате его получения адресатом.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2.5.25. Объект контроля вправе представить в орган внутреннего муниц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финансового контроля письменные возражения на акт проверки, рев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зии в течение 5 рабочих дней со дня получения такого акта. Письменные возр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жения объекта контроля прилагаются к материалам проверки, ревизии.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2.5.26. В случае поступления письменных возражений на акт проверки, 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визии должностные лица органа внутреннего муниципального финансового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троля, (проверяющий), рассматривают возражения на акт проверки, ревизии и по результатам рассмотрения возражений по акту осуществляют подготовку закл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чения органа внутреннего муниципального финансового контроля на поступившие возражения.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Проект заключения на возражения по акту проверки, ревизии согласовыв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ется с руководителем (заместителем руководителя) органа внутреннего муниц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финансового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Заключение на возражения по акту проверки, ревизии подписывается рук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водителем (заместителем руководителя) органа внутреннего муниципального 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Заключение на возражения по акту проверки, ревизии должно отражать 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зицию органа внутреннего муниципального финансового контроля на доводы и возражения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шений бюджетного законодательства Российской Федерации и иных нормативных правовых актов, регулирующих бюджетные правоотношения. Оригинал заключ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 на возражения по акту проверки приобщается к материалам проверки, рев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2.5.27. Акт проверки, ревизии вместе с материалами проверки представл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ется проверяющим Главе Вышнереутчанского сельсовета для рассмотрения.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2.5.28. По результатам рассмотрения акта и иных материалов проверки (р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визии) Главой Вышнереутчанского сельсовета в срок не более 30 рабочих дней со дня направления (вручения) акта проверки, ревизии принимается решение: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а) о направлении представления и (или) предписания, уведомления о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менении бюджетных мер принуждения;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б) об отсутствии оснований для направления представления и (или) пре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писания, уведомления о применении бюджетных мер принуждения;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в) о проведении выездной проверки, ревизии по результатам проведения камеральной проверки.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2.6. Стандарт № 6 «Проведение встречной проверки»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2.6.1. Стандарт «Проведение встречной проверки» определяет требования к организации и проведению встречной проверки органом внутреннего муниципал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ного финансового контроля, обеспечивающий сбор объективных и достоверных данных (информации), в целях установления и (или) подтверждения фактов, св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занных с деятельностью объекта контроля, в рамках которого проводится встре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ная проверка.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Встречной проверкой проводятся контрольные действия по: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ниях должностных, материально ответственных и иных лиц объекта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фактическому осмотру, инвентаризации, наблюдению, пересчету,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трольным обмерам, фото-, видео- и аудиофиксации;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информации, содержащейся в информационных системах и 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сурсах;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информации, содержащейся в документах и сведениях, пол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ченных из других достоверных источников;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 о состоянии внутреннего финансового контроля и внутреннего финансового аудита.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2.6.3.Учреждения и организации (далее - объекты встречной проверки), обязаны представить по письменному запросу должностных лиц, входящих в 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став ревизионной группы (проверяющего), информацию, документы и материалы, относящиеся к тематике проверки (ревизии).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2.6.4. Срок проведения встречной проверки не может превышать 20 раб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чих дней. Результаты встречной проверки оформляются актом, который подпис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вается руководителем и членами ревизионной группы (проверяющим), представ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телем объекта встречной проверки и прилагается к материалам выездной или 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меральной проверки соответственно.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2.6.5. По результатам встречной проверки меры принуждения к объекту встречной проверки не применяются.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2.7. Стандарт № 7 «Проведение обследования»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2.7.1. Стандарт «Проведение обследования» определяет требования к орг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низации проведения обследования органом внутреннего муниципального фина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сового контроля для обеспечения анализа и оценки состояния определенной сф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ры деятельности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пы (проверяющего) в порядке и сроки, установленные для выездной проверки (ревизии).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 ходе проведения обследования проводятся контрольные действия по: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первичных, отчетных документов объекта контроля, характер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зующих исследуемую сферу деятельности объекта контроля, в том числе путем анализа полученной из них информации;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фактическому осмотру и наблюдению;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информации, содержащейся в информационных системах и 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сурсах.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 ходе проведения обследования используются как визуальные, так и док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ментально подтвержденные данные.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2.7.4. Результаты обследования оформляются заключением, которое подп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сывается руководителем ревизионной группы (проверяющим) не позднее после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него дня срока проведения обследования.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2.7.5. Заключение по результатам обследования состоит из вводной, опис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тельной и заключительной частей.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2.7.6. Вводная часть заключения по результатам обследования должна 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держать: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а) наименование и место нахождения объекта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б) проверяемую сферу деятельности объекта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в) вид контрольного мероприятия (плановое или внеплановое);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г) проверяемый период;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д) срок проведения обследования;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е) сведения об объекте контроля: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полное и краткое наименование объекта контроля, его идентификацио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ный номер налогоплательщика (ИНН), номер и дата свидетельства о внесении 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писи в Единый государственный реестр юридических лиц, ведомственная прина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лежность;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основные виды деятельности;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фамилия, инициалы руководителя объекта контроля и главного бухгалт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ра, период работы, телефоны;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иные данные, необходимые для полной характеристики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дования, и содержать сведения об исследованных материалах, документах, 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формации, в том числе об источнике их получения.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 описательной части заключения по результатам обследования отражаю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стояние обследуемой сферы деятельности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тельным письмом за подписью руководителя (заместителя руководителя) органа внутреннего муниципального финансового контроля заказным почтовым отпра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лением с уведомлением о вручении или иным способом, свидетельствующим о 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 его получения адресатом.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2.7.10. Заключение и иные материалы обследования подлежат рассмотр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нию руководителем (заместителем руководителя) органа внутреннего муниц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финансового контроля в течение 30 дней со дня подписания заключ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2.8. Стандарт № 8 «Проведение камеральной проверки»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го муниципального финансового контроля обеспечивающей качество, эффекти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и результативность камеральной проверки.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2.8.2. Камеральная проверка проводится по месту нахождения органа вну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реннего муниципального финансового контроля, в том числе на основании бю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жетной (бухгалтерской) отчетности и иных документов, представленных по запр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сам органа внутреннего муниципального финансового контроля, а также инфо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мации, документов и материалов, полученных в ходе встречных проверок.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 ходе камеральной проверки проводятся контрольные действия по: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ниях должностных, материально ответственных и иных лиц объекта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информации, содержащейся в информационных системах и 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сурсах;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информации, содержащейся в документах и сведениях, пол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ченных в ходе встречных проверок, обследований и других достоверных источн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ков.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2.8.3. Срок проведения камеральной проверки составляет не более 30 раб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чих дней со дня получения от объекта контроля информации, документов и мат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риалов, представленных по запросу органа внутреннего муниципального фина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2.8.4. При проведении камеральной проверки в срок ее проведения не 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считываются периоды времени с даты отправки запроса органа внутреннего мун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финансового контроля до даты представления информации, докуме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тов и материалов объектом проверки, а также времени, в течение которого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водится встречная проверка и (или) обследование.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2.8.6. К акту камеральной проверки (кроме акта встречной проверки и 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ключения, подготовленного по результатам проведения обследования) прилаг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ются документы, результаты экспертиз (исследований), фото-, видео- и аудиом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териалы, полученные в ходе проведения контрольных действий.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2.8.7. Акт камеральной проверки в течение 3 рабочих дней со дня его по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писания вручается (направляется) представителю объекта контроля в соответс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вии с Порядком.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ные возражения объекта контроля приобщаются к материалам камеральной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верки.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финансового контроля принимает в отношении объекта контроля реш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ние: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 применении мер принуждения в соответствии с законодательством Ро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об отсутствии оснований для применения мер принуждения;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 проведении выездной проверки (ревизии).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2.9. Стандарт № 9 «Проведение выездной проверки (ревизии)»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2.9.1. Стандарт «Проведение выездной проверки (ревизии)» определяет общие требования к организации проведения выездной проверки (ревизии) орг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ном внутреннего муниципального финансового контроля обеспечивающие качес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во, эффективность и результативность выездной проверки (ревизии).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2.9.2. Выездная проверка (ревизия) проводится по месту нахождения объе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 ходе проверки (ревизии) проводятся контрольные действия по: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ниях должностных, материально ответственных и иных лиц объекта контроля;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фактическому осмотру, инвентаризации, наблюдению, пересчету,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трольным обмерам, фото-, видео- и аудио-фиксации;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информации, содержащейся в информационных системах и 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сурсах;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информации, содержащейся в документах и сведениях, пол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ченных в ходе встречных проверок, обследований и других достоверных источн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ков;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изучению информации о состоянии внутреннего финансового контроля и внутреннего финансового аудита.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2.9.3. Срок проведения выездной проверки (ревизии) составляет не более 45 рабочих дней.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2.9.4. Руководитель (заместитель руководителя) органа внутреннего мун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2.9.5. В случае обнаружения подделок, подлогов, хищений, злоупотребл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ний и при необходимости пресечения данных противоправных действий руковод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тель ревизионной группы (проверяющий) изымает необходимые документы и 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териалы с учетом ограничений, установленных законодательством Российской 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дерации, составляет акт изъятия и копии или опись изъятых документов в соо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2.9.6. Проведение выездной проверки (ревизии) приостанавливается рук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водителем (заместителем руководителя) органа внутреннего муниципального ф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нансового контроля по мотивированному обращению руководителя ревизионной группы (проверяющего):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на период проведения встречной проверки и (или) обследования;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та и отчетности;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на период организации и проведения экспертиз;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на период исполнения запросов, направленных в муниципальные органы;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в случае непредставления объектом контроля информации, документов и материалов и (или) представления неполного комплекта истребуемых информ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ции, документов и материалов и (или) воспрепятствования проведению контрол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ного мероприятия, и (или) уклонения от проведения контрольного мероприятия;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при необходимости обследования имущества и (или) документов, наход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щихся не по месту нахождения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2.9.7. По результатам выездной проверки (ревизии) оформляется акт, кот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рый подписывается руководителем и членами ревизионной группы (проверя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щим) в течение 15 рабочих дней, исчисляемых со дня, следующего за днем око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чания срока проведения выездной проверки (ревизии).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гаются документы, результаты экспертиз (исследований), фото-, видео- и ауди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материалы, полученные в ходе проведения контрольных действий.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2.9.11. Акт и иные материалы выездной проверки (ревизии) подлежат ра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смотрению руководителем (заместителем руководителя) органа внутреннего 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ниципального финансового контроля в течение 30 календарных дней со дня по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писания акта.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 применении мер принуждения в соответствии с законодательством Ро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об отсутствии оснований для применения мер принуждения;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2.10. Стандарт № 10 «Реализация результатов проведения ко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трольных мероприятий»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2.10.1. Стандарт «Реализация результатов проведения контрольных мер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вовых актов Вышнереутчанского сельсовета в соответствующей сфере деятельн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сти и привлечению к ответственности лиц, допустивших указанные нарушения.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конодательства Российской Федерации, законодательства Курской области и 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ниципальных правовых актов Вышнереутчанского сельсовета в соответствующей сфере деятельности.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2.10.3. 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представления, содержащие информацию о выявленных нарушениях бю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жетного законодательства Российской Федерации и иных нормативных правовых актов, регулирующих бюджетные правоотношения, нарушениях условий догов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ров (соглашений) о предоставлении средств из бюджета, государственных (мун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ципальных) контрактов, а также контрактов (договоров, соглашений), заключе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троля, а также требования о принятии мер по устранению причин и условий таких нарушений или требования о возврате предоставленных средств бюджета, обяз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тельства Российской Федерации и иных нормативных правовых актов, регулиру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щих бюджетные правоотношения, нарушений условий договоров (соглашений) о предоставлении средств из бюджета, государственных (муниципальных) контра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тов, а также контрактов (договоров, соглашений), заключенных в целях исполн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 указанных договоров (соглашений) и государственных (муниципальных)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трактов, целей, порядка и условий предоставления кредитов и займов, обеспече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ных государственными и муниципальными гарантиями, целей, порядка и условий размещения средств бюджета в ценные бумаги объектов контроля и (или) треб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вания о возмещении причиненного ущерба Российской Федерации, субъекту Ро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Федерации, муниципальному образованию»;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уведомления о применении бюджетных мер принуждения.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2.10.4. При осуществлении внутреннего муниципального финансового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троля в отношении закупок для обеспечения нужд Вышнереутчанского сельсов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та орган внутреннего муниципального финансового контроля направляет предп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сания об устранении нарушений в сфере закупок.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дусмотренных Порядком, подписываемых должностными лицами органа внутре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него муниципального финансового контроля, устанавливаются органом внутре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него муниципального финансового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писании), подлежат устранению в срок, установленный в представлении (предп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сании).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2.10.7. При выявлении в ходе проведения органом внутреннего муниц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финансового контроля проверки (ревизии) бюджетных нарушений,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дусмотренных Бюджетным кодексом Российской Федерации, руководитель ревиз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онной группы (проверяющий) подготавливает уведомление о применении бю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жетных мер принуждения и направляет его руководителю (заместителю руковод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теля) органа внутреннего муниципального финансового контроля не позднее 60 календарных дней после дня окончания проверки (ревизии). В таком уведомлении указываются основания для применения - бюджетных мер принуждения, пред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смотренных Бюджетным кодексом Российской Федерации, и суммы средств, 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пользованных с нарушением условий предоставления (расходования) межбюдже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ного трансферта, бюджетного кредита или использованных не по целевому назн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чению.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ля) органа внутреннего муниципального финансового контроля и в течение 3 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бочих дней направляются (вручаются) представителю объекта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2.10.9. Неисполнение объектом контроля предписания о возмещении уще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ба Амосовскому сельсовету, причиненного нарушением бюджетного законодател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ства Российской Федерации и иных нормативных правовых актов, регулирующих бюджетные правоотношения, является основанием для обращения органа вну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реннего муниципального финансового контроля в суд с исковым заявлением о возмещении данного ущерба.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2.10.10. Отмена представлений и предписаний органа внутреннего муниц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финансового контроля осуществляется в судебном порядке.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вии с законодательством Российской Федерации.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ступления, орган внутреннего муниципального финансового контроля передает в правоохранительные органы информацию о таком факте и (или) документы, по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тверждающие такой факт.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нившему такое представление и (или) предписание, меры ответственности в соо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законодательством Российской Федерации.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2.10.14. В случае обнаружения в ходе проведения проверки, ревизии,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следования достаточных данных, указывающих на наличие события администр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тивного правонарушения, предусмотренных статьями 15.1, 15.11, 15.14-15., 15.16, 5.21, частью 1 статьи 19.4, статьей 19.4.1, частями 20 и 20.1, статьи 19.5, статьями 19.6 и 19.7 Кодекса Российской Федерации об административных правонарушен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ях, должностным лицом уполномоченным составлять протоколы об администр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тивных правонарушениях, составляется Протокол об административных правон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рушениях (далее - Протокол).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2.10.15. Составление Протокола осуществляется в соответствии с требов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ниями кодекса Российской Федерации об административных правонарушениях.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2.10.16. В Протоколе указываются: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дата его составления;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место его составления;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должность лица, составившего Протокол;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фамилия и инициалы лица, составившего Протокол;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сведения о лице, в отношении которого возбуждено дело об администр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тивном правонарушении;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фамилии, имена, отчества, адреса места жительства свидетелей и поте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певших, если имеются свидетели и потерпевшие;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место совершения административного правонарушения;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время совершения административного правонарушения;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событие административного правонарушения;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статья Кодекса Российской Федерации об административных правонар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шениях, предусматривающая административную ответственность за данное адм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нистративное правонарушение;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объяснение законного представителя юридического лица, в отношении 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торого возбуждено дело или отказ от объяснений (удостоверяется подписью ук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занного лица);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иные сведения, необходимые для разрешения дела.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2.10.17. При составлении Протокола законному представителю юридическ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го лица, в отношении которого возбуждено дело об административном правон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Конституции Российской Фед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рации, о чем делается запись в Протоколе (удостоверяется подписью вышеук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занных лиц).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2.10.18. Законному представителю юридического лица, в отношении кот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рого возбуждено дело об административном правонарушении, предоставляется возможность ознакомления с Протоколом. Указанное лицо вправе представить 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объяснения и замечания по содержанию Протокола, которые прилагаются к Пр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токолу.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2.10.19. В случае неявки законного представителя юридического лица, в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ношении которого ведется производство по делу об административном правон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рушении, если он извещен в установленном порядке, Протокол составляется в его отсутствие. Копия Протокола направляется лицу, в отношении которого он 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ставлен, в течение трех дней со дня составления указанного Протокола.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2.10.20. 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ниях.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2.10.21. Протокол подписывается: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должностным лицом, его составившим,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законным представителем юридического лица, в отношении которого во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буждено дело об административном правонарушении.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2.10.22. Законному представителю юридического лица, в отношении кот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рого возбуждено дело об административном правонарушении, а также потерпе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шему вручается под расписку копия Протокола.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2.10.23. При выявлении органом внутреннего муниципального финансового контроля признаков нарушений в сфере законодательства, относящейся к комп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тенции контрольной деятельности других органов, соответствующая информация направляется указанным органам с последующим уведомлением органа внутре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него муниципального финансового контроля о принятом решении.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2.11. Стандарт № 11 «Составление и представление годовой отче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ности о результатах контрольной деятельности»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2.11.1. Стандарт «Составление и представление годовой отчетности о 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зультатах контрольной деятельности» устанавливает требования к форме и 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2.11.3. Отчет подписывается руководителем (заместителем руководителя) органа внутреннего муниципального финансового контроля и направляется Гл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ве Вышнереутчанского сельсовета не позднее 01 марта года, следующего за 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четным.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ренным объектам контроля и проверяемым периодам.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количество представлений и предписаний и их исполнение в количестве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ном и (или) денежном выражении, в том числе объем восстановленных (возм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щенных) средств по предписаниям и представлениям;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объем проверенных средств местного бюджета;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вия (бездействие) в рамках осуществленной им деятельности по контролю;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2.11.6. Результаты проведения контрольных мероприятий размещаются на официальном сайте муниципального образования «Вышнереутчанский сельсовет» Медвенского района Курской области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2.11.7. Отчет по результатам контроля для отражения результатов контроля и их реализации подготавливается по утвержденной форме и в срок, установле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ный органом внутреннего муниципального финансового контроля.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Заключительные положения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го контроля обязаны руководствоваться законодательством Российской Федер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ции, законодательством Курской области и муниципальными правовыми акт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44741">
        <w:rPr>
          <w:rFonts w:ascii="Tahoma" w:eastAsia="Times New Roman" w:hAnsi="Tahoma" w:cs="Tahoma"/>
          <w:color w:val="000000"/>
          <w:kern w:val="0"/>
          <w:lang w:eastAsia="ru-RU" w:bidi="ar-SA"/>
        </w:rPr>
        <w:t>ми Вышнереутчанского сельсовета.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spacing w:before="50"/>
        <w:ind w:left="4253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27" name="Рисунок 22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7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74474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Стандартов по осуществлению внутреннего муниципального финансового контроля в Вышнереутчанском сельсовете Медвенского района Курской области </w:t>
        </w:r>
      </w:hyperlink>
      <w:r w:rsidRPr="0074474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4474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06.01.2020 13:43. Последнее изменение: 06.01.2020 13:43.</w:t>
      </w:r>
    </w:p>
    <w:p w:rsidR="00744741" w:rsidRPr="00744741" w:rsidRDefault="00744741" w:rsidP="0074474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4474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972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44741" w:rsidRPr="00744741" w:rsidTr="0074474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44741" w:rsidRPr="00744741" w:rsidRDefault="00744741" w:rsidP="0074474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74474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4474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44741" w:rsidRPr="00744741" w:rsidRDefault="00744741" w:rsidP="0074474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4474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4474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74474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44741" w:rsidRDefault="00296A66" w:rsidP="00744741"/>
    <w:sectPr w:rsidR="00296A66" w:rsidRPr="0074474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0B" w:rsidRDefault="0006620B" w:rsidP="00296A66">
      <w:r>
        <w:separator/>
      </w:r>
    </w:p>
  </w:endnote>
  <w:endnote w:type="continuationSeparator" w:id="0">
    <w:p w:rsidR="0006620B" w:rsidRDefault="0006620B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0B" w:rsidRDefault="0006620B" w:rsidP="00296A66">
      <w:r w:rsidRPr="00296A66">
        <w:rPr>
          <w:color w:val="000000"/>
        </w:rPr>
        <w:separator/>
      </w:r>
    </w:p>
  </w:footnote>
  <w:footnote w:type="continuationSeparator" w:id="0">
    <w:p w:rsidR="0006620B" w:rsidRDefault="0006620B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3C"/>
    <w:multiLevelType w:val="multilevel"/>
    <w:tmpl w:val="8B48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1AA4012"/>
    <w:multiLevelType w:val="multilevel"/>
    <w:tmpl w:val="89D6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6620B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C7308"/>
    <w:rsid w:val="004F0767"/>
    <w:rsid w:val="00543742"/>
    <w:rsid w:val="005667C2"/>
    <w:rsid w:val="005710A1"/>
    <w:rsid w:val="00590BCC"/>
    <w:rsid w:val="0059658A"/>
    <w:rsid w:val="005A10D5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765&amp;print=1&amp;id_mat=3241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3241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19</Pages>
  <Words>8851</Words>
  <Characters>50457</Characters>
  <Application>Microsoft Office Word</Application>
  <DocSecurity>0</DocSecurity>
  <Lines>420</Lines>
  <Paragraphs>118</Paragraphs>
  <ScaleCrop>false</ScaleCrop>
  <Company/>
  <LinksUpToDate>false</LinksUpToDate>
  <CharactersWithSpaces>59190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118</cp:revision>
  <cp:lastPrinted>2019-04-04T14:53:00Z</cp:lastPrinted>
  <dcterms:created xsi:type="dcterms:W3CDTF">2023-09-30T19:07:00Z</dcterms:created>
  <dcterms:modified xsi:type="dcterms:W3CDTF">2023-10-01T07:19:00Z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