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47"/>
      </w:tblGrid>
      <w:tr w:rsidR="00041E29" w:rsidRPr="00041E29" w:rsidTr="00041E2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41E2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отчете главы Вышнереутчанского сельсовета Медвенского района Курской области об итогах своей деятельности и деятельности Администрации Вышнереутчанского сельсовета в 2017году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left="45" w:hanging="431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 w:bidi="ar-SA"/>
        </w:rPr>
        <w:t>РОССИЙСКАЯ ФЕДЕРАЦИЯ</w:t>
      </w:r>
    </w:p>
    <w:p w:rsidR="00041E29" w:rsidRPr="00041E29" w:rsidRDefault="00041E29" w:rsidP="00041E29">
      <w:pPr>
        <w:widowControl/>
        <w:shd w:val="clear" w:color="auto" w:fill="FFFFFF"/>
        <w:suppressAutoHyphens w:val="0"/>
        <w:autoSpaceDN/>
        <w:ind w:lef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</w:t>
      </w:r>
      <w:r w:rsidRPr="00041E2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Й</w:t>
      </w:r>
      <w:r w:rsidRPr="00041E2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ОН СОБРАНИЕ ДЕПУТАТОВ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left="-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14.02.2018г № 7/51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 отчете главы Вышнереутчанского сельсовета Медвенского района Курской о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 об итогах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своей деятельности и деятельности Администрации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в 2017году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частью 11.1 статьи 35, частью 5.1 статьи 36 Федерального з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кона от 06.10.2003г. № 131 ФЗ «Об общих принципах организации местного сам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управления в Российской Федерации», заслушав и обсудив ежегодный отчет главы Вышнереутчанского сельсовета Медвенского района Курской области о результатах своей деятельности, деятельности Администрации Вышнереутчанского сельсовета Медвенского района по итогам 2017 года, Собрание депутатов Вышнереутчанского сельсовета Медвенского района Курской области РЕШИЛО: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Принять информацию о результатах деятельности Главы Вышнереутчанского сельсовета Медвенского района, деятельности Администрации Вышнереутчанского сельсовета Медвенского района Курской области по итогам 2017 года к сведению.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Признать работу главы Вышнереутчанского сельсовета Медвенского района Курской области по решению вопросов местного значения в 2017 году удовлетвор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тельной.</w:t>
      </w:r>
    </w:p>
    <w:p w:rsidR="00041E29" w:rsidRPr="00041E29" w:rsidRDefault="00041E29" w:rsidP="00041E29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numPr>
          <w:ilvl w:val="1"/>
          <w:numId w:val="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Настоящее решение вместе с отчетом Главы Вышнереутчанского сельсовета Ме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 по итогам 2017года подлежит обнародованию.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 Вышнереутчанского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 В.В.Басенков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Утверждён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Решением Собрания депутатов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14.02.2018г № 7/51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27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27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27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ОТЧЁТ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27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lastRenderedPageBreak/>
        <w:t>Главы Вышнереутчанского сельсовета Медвенского района о результатах своей деятельности и деятельности Администрации Вышнереутчанского сел</w:t>
      </w:r>
      <w:r w:rsidRPr="00041E2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ь</w:t>
      </w:r>
      <w:r w:rsidRPr="00041E29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совета за 2017 год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272" w:lineRule="atLeast"/>
        <w:ind w:left="-318"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02" w:lineRule="atLeast"/>
        <w:ind w:lef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Уважаемые депутаты, односельчане, уважаемые гости предлагается отчет о результатах де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тельности за 2017 год и задачах на 2018 год. Сегодняшний отчет позволит решить две задачи: оценить результаты деятельности и выявить существующие проблемы, определить основные  задачи и направления на предстоящий период. Работа Администрации проводилась в соотве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ствии с федеральным законодательством, законодательством Курской области, Уставом Вы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 Курской области. Деятельность администрации и всех муниципальных учреждений Вышнереутчанского сельсовета строится на нормативно-правовой основе и направлена на то, чтобы улучшить, облегчить и сделать более комфортной жизнь жителей села.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МО «Вышнереутчанский сельсовет» образовано в соответствии с Законом Курской 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ласти от 21.09.04 №48 ЗКО «О муниципальных образованиях Курской области» и имеет статус «сельского поселения».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своей деятельности МО руководствуется Конституцией РФ, Гражданским Кодексом РФ, Бюджетным Кодексом РФ, ФЗ “Об общих принципах организации местного самоуправл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ния в РФ", иными нормативно-правовыми актами, уставом МО «Вышнереутчанский сельс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вет», который устанавливает основы организации и деятельности местного самоуправления на территории сельсовета, функции и полномочия представительного и исполнительного органов.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Согласно Устава органами местного самоуправления Вышнереутчанского сельсовета я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ляются: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представительный орган муниципального образования – Собрание депутатов Вышн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Медвенского района;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местная администрация (исполнительно – распорядительный орган) - Администрация Вышнереутчанского сельсовета;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контрольный орган – ревизионная комиссия Медвенского района Курской области, с которой заключено соглашение о передачи полномочий по решению вопросов местного знач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7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Общая характеристика муниципального образования “Вышнереутчанский сельсовет»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Поселение расположено в юго-западной части Медвенского района. Протяжённость с 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вера на юг 15 км, с запада на восток – 7,5 км.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Административно-хозяйственным центром является село Верхний Реутец, расположе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ное в 13 км от п. Медвенка.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Поселение граничит: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на севере со Спасским сельсоветом;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на западе с Любачанским сельсоветом;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на юге с Обоянским районом;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на востоке с Нижнереутчанским сельсоветом.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Общая численность населения на 01.01.2017г- 970 человек. Количество дворов и прож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вающих в них семей-395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Благоустройство жилого фонда: водопроводом-51%, канализацией-49%, природным г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зом- 77%.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Вышнереутчанский сельсовет Медвенского района Курской области -одиннадцать объ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диненных общей территорией сельских населенных пунктов - село В-Реутец, х. Горки, х. Г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ляево, х. Егорьевский, х. Заегорьевский, х. Замаленький, х. Ивановка, х. Карташовка, х. Птина, п. Реутчанский, х. Степь в которых местное самоуправление осуществляется населением неп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средственно и (или) через выборные и иные органы местного самоуправления.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Площадь Вышнереутчанского сельсовета составляет 80 кв. километров.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Административным центром Вышнереутчанского сельсовета является село Верхний 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 xml:space="preserve">утец. В 6-х из них население отсутствует. Идёт сокращение населения на хуторах Горки (9чел. 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осталось), Бугор 4 человека, Карташовка – 7человек. Причины – отдалённость от центра, отсу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ствие природного газа, коммунальных удобств, дороги, торговых точек, медпункта и т.д.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Средняя плотность населения составляет 14 чел. на 1 км, в районе - 18 человек. Из общей численности 970 чел. Населения, женщины составляют 517 чел., мужчины – 453 чел. В том числе по категориям: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1. Пенсионеры – 375 чел. (56 из них инвалиды).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2. Студенты – 20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3. Школьники – 86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4. Дети дошкольного возраста – 44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5. Трудоспособное население – 470 чел., в. т. ч.: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неработающие в трудоспособном возрасте – 89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работающее население – 351 чел., из них на территории МО: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1.Работающие у фермеров –83чел.;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2.Торговая сфера - 9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3.Социальная сфера –44 чел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4.Фермеры –4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5. Лица старше пенсионного возраста-14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6. И П -6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7. Работающие за пределами МО –111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т. ч. в пределах района: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-ООО Агропродукт –9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-МОБУ «Нижнереутчанская СОШ» –2чел.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-КФХ Веревкина –2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-Другие организации района — 7 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За пределами района -111 чел.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Количество молодых семей – 8, в них воспитывается 10детей.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9 семей имеют 141 детей несовершеннолетних;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- 11 семей имеют по 3 ребёнка и 2 семьи по 4 ребенка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Демографическая ситуация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Демографическая ситуация за 2015-2017годы характеризуется процессом убыли населения. Смертность намного превышает рождаемость. Это видно из нижеследующей таблицы.</w:t>
      </w:r>
    </w:p>
    <w:tbl>
      <w:tblPr>
        <w:tblW w:w="6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976"/>
        <w:gridCol w:w="940"/>
        <w:gridCol w:w="867"/>
        <w:gridCol w:w="1590"/>
      </w:tblGrid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2017К 2016 году</w:t>
            </w:r>
          </w:p>
        </w:tc>
      </w:tr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Смертность, чел.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37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 14чел. меньше</w:t>
            </w:r>
          </w:p>
        </w:tc>
      </w:tr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Рождаемость, чел.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 5чел. больше</w:t>
            </w:r>
          </w:p>
        </w:tc>
      </w:tr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Заключено браков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Зарегистрировано</w:t>
            </w:r>
          </w:p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разводов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 1 меньше</w:t>
            </w:r>
          </w:p>
        </w:tc>
      </w:tr>
      <w:tr w:rsidR="00041E29" w:rsidRPr="00041E29" w:rsidTr="00041E29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Численность</w:t>
            </w:r>
          </w:p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населения, чел.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1005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980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970</w:t>
            </w:r>
          </w:p>
        </w:tc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 10 чел. меньше</w:t>
            </w:r>
          </w:p>
        </w:tc>
      </w:tr>
    </w:tbl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Согласно переписи населения, которая проводилась в октябре 2010года, на этот момент на территории Вышнереутчанского сельсовета находилось 878 человек. Эта цифра включена во все статотчеты и по ней выделяется финансирование. Хотя около 102 человека временно находились за пределами сельсовета и многие из них вообще не вошли в перепись. Но эти все люди постоянно обращаются в администрацию сельсовета по многим вопросам: 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дача различных справок, замена паспортов, вопросы жилищно-коммунального обслуживания, оформления в собственность земли, домов и т.д.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Труд и занятость населения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Показатели, характеризующие занятость и заработную плату в 2015 - 2017 гг.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6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24"/>
        <w:gridCol w:w="555"/>
        <w:gridCol w:w="1037"/>
        <w:gridCol w:w="1051"/>
        <w:gridCol w:w="823"/>
        <w:gridCol w:w="800"/>
      </w:tblGrid>
      <w:tr w:rsidR="00041E29" w:rsidRPr="00041E29" w:rsidTr="00041E29">
        <w:trPr>
          <w:trHeight w:val="435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Ед. изм.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2015 г.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2016 г.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2017 г.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2017 г.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br/>
              <w:t>в % к 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br/>
              <w:t>2015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Среднемесячная зар. плата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br/>
              <w:t>по МО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руб.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15881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15881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18452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116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В т.ч.: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Сельское хозяйство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19100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19773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24251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127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Производство и ра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пределение 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br/>
              <w:t>воды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9000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9000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9000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19992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23790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23790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10 8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Здравоохранение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18000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18100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19400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141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15076,26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15076,26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21780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144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Муниципальное управление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22100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22100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22100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Прочие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7900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7900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8840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112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Численность нераб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тающих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чел.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110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110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111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101</w:t>
            </w:r>
          </w:p>
        </w:tc>
      </w:tr>
      <w:tr w:rsidR="00041E29" w:rsidRPr="00041E29" w:rsidTr="00041E29">
        <w:trPr>
          <w:trHeight w:val="435"/>
          <w:tblCellSpacing w:w="0" w:type="dxa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Количество гра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дан, 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br/>
              <w:t>стоявших на учете в службе занятости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чел.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150</w:t>
            </w:r>
          </w:p>
        </w:tc>
      </w:tr>
    </w:tbl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Темп роста заработной платы составляет 149 % к уровню 2015года. Рост среднемесячной зар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ботной платы обусловлен повышением оплаты труда в образовании, здравоохранении, культ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ре а также повышением в сельском хозяйстве. Основными работодателями на территории сел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совета являются ООО “Агрофирма  «Реут», КХ «Бабино».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ЛПХ население занимается разведением КРС, свиней, овец, коз, пчел и птицы. В 2017г. нас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лением было продано более 82 голов свиней и 20 поросят, порядка 12 голов КРС, овец 6,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давали мёд, молоко, картофель, овощи.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Поголовье крупного рогатого скота всего 37гол, а коров снизилось до минимума и осталось всего 22 головы. За год еще 4 коровы были проданы.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Потребительский рынок товаров и услуг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За отчетный период потребительский рынок поселения сохранял стабильность, 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тойчивость, высокую степень товарного насыщения и положительную динамику развития. Ра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витие инфраструктуры отрасли осуществляется, в основном, за счет частного капитала.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оритетным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настоящее время сеть розничной торговли составила 5 объектов, в том числе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довольственных магазинов - 2, непродовольственных магазинов -2, магазинов смешанного 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па- 1, аптека-1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Развитие розничной торговли.</w:t>
      </w:r>
    </w:p>
    <w:tbl>
      <w:tblPr>
        <w:tblW w:w="6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86"/>
        <w:gridCol w:w="870"/>
        <w:gridCol w:w="870"/>
        <w:gridCol w:w="1064"/>
      </w:tblGrid>
      <w:tr w:rsidR="00041E29" w:rsidRPr="00041E29" w:rsidTr="00041E29">
        <w:trPr>
          <w:trHeight w:val="195"/>
          <w:tblCellSpacing w:w="0" w:type="dxa"/>
        </w:trPr>
        <w:tc>
          <w:tcPr>
            <w:tcW w:w="5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5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Оборот розничной торговли, млн. руб.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20,3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21,3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23,3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5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в % к предыдущему году в дейс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вующих ценах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109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109</w:t>
            </w:r>
          </w:p>
        </w:tc>
      </w:tr>
      <w:tr w:rsidR="00041E29" w:rsidRPr="00041E29" w:rsidTr="00041E29">
        <w:trPr>
          <w:trHeight w:val="195"/>
          <w:tblCellSpacing w:w="0" w:type="dxa"/>
        </w:trPr>
        <w:tc>
          <w:tcPr>
            <w:tcW w:w="5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Количество стационарных магаз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нов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</w:tbl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связи с расширением сети услуг сотовой связи многие абоненты отказались от 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луг стационарного телефона. В 2013 году к станции проложено оптоволокно, которое позвол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ло подключить высокоскоростной интернет на 13 номеров. Сейчас многие жители пишут зая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ления на подключение вновь телефонов, но количество номеров высокоскоростного интернета ограничено.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1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отделении почтовой связи с. Верхний Реутец в настоящее время нет заведующей почты и население, особенно пожилые, испытывают огромные трудности с оплатой комм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нальных услуг.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1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 состоянию на февраль 2018г. на территории поселения населением и организ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циями выписано- 313 экземпляров периодических изданий, уменьшилось по сравнению с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шлым годом на 40 экз.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Управление и распоряжение имуществом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На территории сельсовета имеется 5800га с/х угодий, в том числе 5200га пашни. На сегодня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ний день вся пашня обрабатывается. Остаётся проблема с сенокосами и пастбищами, которые зарастают из-за отсутствия скота в общественном секторе и резкого его снижения у населения. Здесь нужно администрации сельсовета, депутатам и руководителям хозяйств думать о живо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новодстве. Это и подспорье людям, новые рабочие места, «копейка» круглый год. Сейчас гос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дарство даёт субсидии на животноводческую продукцию и не плохие.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Земли поселения составляют 931 га. Предоставлением земельных участков аренду занимается Администрация Медвенского района.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2017году работа по межеванию и по оформлению в собственность невостребованных 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мельных участков приостановлена, осталось 7 земельных долей не оформленных.но эти прав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обладатели или наследники находятся за пределами РФ.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Жилищно- коммунальное хозяйство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2017г водоснабжение находилось в аренде Курскоблводоканала, затем было передано по 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говору ссуды АНО Медвенского района по мере возможности Курскоблводоканал помогал в приобретении новых погружных насосов, так были заменены 1 насос, производился ремонт 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допровода.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Требуют реконструкции и замены более 70% водопроводных сетей. И большое подспорье водоснабжению с. Верхний Реутец будет, если мы вступим в программу капитал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ного ремонта объектов водоснабжения. Остаются проблемы по несвоевременной оплате за п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требленную воду, равнодушие к нецелевому использованию воды, а также воровство воды, м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нуя счетчик. В конечном итоге мы обманем себя, когда останемся без водопроводной воды.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2017 году проведена дорога с твёрдым покрытием по ул Истомовка, частично по ул. Белобородовка от здания ФАП к ул. Нижневка, всего 1км, а всего на территории сельсовета из 14,8 км сельских дорог более половины асфальтированные.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На территории сельсовета числится 6 многоквартирных домов или 68 квартиры с общей пл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щадью- 3100 м2. Из них 67 квартиры приватизированные. Все они выбрали способ управления – непосредственное управление собственниками помещений, что негативно сказывается на 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служивании этих домов. Требуется выбор другого способа управления. В соответствии с тр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бованиями Федерального закона от 23.11.2009года № 261-ФЗ "Об энергосбережении и о пов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шении энергетической эффективности и о внесении изменений в отдельные законодательные акты Российской Федерации" собственники помещений в многоквартирных домах с централ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зованной подачей ресурсов обязаны были до 1 июля 2012 года обеспечить оснащение таких домов приборами используемых энергоресурсов. Оснащено 58 квартиры или 77 % от подл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жащих оснащению, 5 многоквартирных дома оснащены коллективными (общедомовыми )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борами учета воды, электрической энергии. В данном направлении ведется работа, но не на должном уровне. В 2015-2016г были капитально отремонтирован дом №26 и №27 пос Реутча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ский, на 2017г запланированный к кап. ремонту дом № 26 с Верхний Реутец перенесён на 4 квартал 2018 года и последующие 2 дома на 2019, 2020гг, хозяева этих квартир, зная, что будет кап ремонт дома, недобросовестно относятся к оплате за кап. ремонт квартир.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Культура, физическая культура и спорт.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работе органов местного самоуправления поселения большое внимание отводи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ся вопросам сохранения и развития традиционной народной культуры и поддержания учрежд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ний культуры в нормальном, рабочем состоянии.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МО находятся: МКУК "Вышнереутчанский СДК", Клуб Досуга, Вышнереутча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ская сельская библиотека-филиал.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Работниками культуры уделяется большое внимание работе по эстетическому, нравственному, историко-патриотическому воспитанию молодежи. Особое внимание уделяется вопросам во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рождения села и русской традиции.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течении 2017года в ДК и библиотеке проводились мероприятия, направленные на профила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тику асоциальных явлений, таких как наркомания, алкоголизм и курение. Мероприятия по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дупреждению террористической угрозы-терроризм, «Дети против террора».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Для формирования гражданско-патриотической позиции подрастающего поколения были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ведены мероприятия: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«Живая память поколения» -час воспоминаний; «Подвигу, доблести-память и честь» -час м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жества, «Все мы разные, все мы равные»-час полезной информации, «Победа вновь по нашим улицам идёт»-митинг ко дню неизвестного солдата, конкурс чтецов- «Вам неизвестные солд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ты посвящается», ко дню героев 09.02.2017г, урок мужества «О воинах курянах, погибщих в Афганистане»; «Дорогами нашей Победы», «Да разве об этом раскажешь»- беседы; «Главный документ России»-час информации, урок мужества «Ради жизни на земле»;.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Содержательными и интересными были мероприятия, направленные на духовное и нравстве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ное воспитание молодёжи и подрастающего поколения.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Большая работа была проведена и по календарным датам. Конкурсная программа к Дню 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щитника Отечества, праздничный концерт к 8 Марта и Дню Победы, Дню России, к Дню п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жилых людей, к декаде инвалидов и др.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МКУК «Вышнереутчанский СДК» предлагал жителям села мероприятия различной направле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ности.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Работникам культуры удалось сохранить и продолжить работу фольклорного коллектива, кот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рый является «изюминкой» всех мероприятий.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На базах МОБУ «Вышнереутчанская СОШ» и МКУК «Вышнереутчанский СДК» работают спортивные секции. В свободное время любители спорта занимаются волейболом, футболом, игрой в теннис, шашки, шахматы.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На протяжении 2017г. наши жители принимали активное участие во всех районных спорти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ных соревнованиях. Наша команда пятый год занимает призовые места в районной летней Спартакиаде среди муниципальных образований, предприятий, учреждений Медвенского ра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она по гиревому спорту, армреслинг и др.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2017году работникам культуры выплачены все социальные гарантии, на основании Указа Президента Российской Федерации.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Архитектура и градостроительство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lef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Часть функций по исполнению полномочий МО "Вышнереутчанский сельсовет" в области гр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достроительной деятельности передана муниципальному району "Медвенский район" по 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глашению, заключенному между этими сторонами. Утвержден план застройки и землепольз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вания МО «Вышнереутчанский сельсовет», корректировка ПЗЗ. На межбюджетные средства был изготовлен и утверждён генеральный план поселения.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Произведен ремонт памятников, расположенных на территории села, их межевание, оформл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ны земельные участки под ними в собственность, два памятника оформлены в собственность.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 целях реализации программы Указа Президента Российской Федерации от 7 мая 2008г № 714 “Об обеспечении жильём ветеранов ВОВ и приравненных к ним категориям» из 12 вет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ранов, стоящих на очереди, 12 приобрели жильё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Бюджет муниципального образования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9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Обеспечение осуществления органами местного самоуправления полномочий по 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шению вопросов местного значения, определенных Федеральным законом от 06.10.2003 N 131-ФЗ "Об общих принципах организации местного самоуправления в Российской Федерации", и отдельных государственных полномочий, переданных органам местного самоуправления фед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ральными законами и законами Курской области, - одна из основных функций Главы Вышн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1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Одним из важных направлений работы Главы сельсовета, депутатов Собрания деп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татов Вышнереутчанского сельсовета является работа с основным финансовым документом - бюджетом поселения. Бюджет поселения на 2018 год и плановый период 2019 и 2020годы был подготовлен Администрацией Вышнереутчанского сельсовета и принят Собранием депутатов Вышнереутчанского сельсовета с соблюдением установленных сроков. Бюджет поселения на 2019 год и плановый период 2019 и 2020годы был сориентирован на экономию средств, пре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полагающую достижение максимально возможного экономического и социального эффекта от каждого бюджетного рубля. В течение 2017 года было подготовлено 12 проектов решений о внесении изменений в бюджет поселения.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Объем доходной части бюджета за 2017год составил- 4141 тыс. руб. Бюджет поселения исполнен по собственным доходам в сумме -1822 ыс. руб. Собственные доходы составляют % в общих поступлениях доходов, в том числе: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-НДФЛ-168тыс. руб. или 9% от объема собственных доходов.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-земельного налога-1565тыс. руб. или 86 %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 налог на имущество - 70 тыс. руб. или 4%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остальные доходы составили-2319тыс.руб. или 56 % от всех доходов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Субсидии в бюджете поселения составили -157 тыс. рублей, они были направлены на соцподдержку работникам культуры.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Субвенции в бюджете поселения составили 69 тыс. рублей. Они направлялись на организацию ведения первичн</w:t>
      </w: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го воинского учета.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Дотация на выравнивание уровня бюджетной обеспеченности и сбалансированность составила — 1162 тыс. Руб.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Расходы бюджета поселения в 2017 году составили 4104 тыс. руб., в том числе: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-зарплата с начислениями на нее -2078тыс. руб. или 51_% объема расходов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-ТЭРы-62тыс.руб. Или _2 %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-работы по содержанию имущества -971 тыс.руб. или 24 % ,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-пенсии и пособия-218 тыс.руб. Или 5 %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-прочие расходы- или 775 тыс.руб.19 %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В разрезе отраслей: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-на общегосударственные вопросы, в том числе содержание органом местного самоуправления-2078тыс.руб. Или 51%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Доведенный норматив на содержание органов местного самоуправления 946тыс.руб.не превышен за 2017год и составил -946_тыс.руб.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 на культуру в 2017году было направлено средств в размере 652тыс. руб. или 16% расходов бюджета,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- на социальную политику – 218тыс.руб. Или 5 %,</w:t>
      </w:r>
    </w:p>
    <w:p w:rsidR="00041E29" w:rsidRPr="00041E29" w:rsidRDefault="00041E29" w:rsidP="00041E29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spacing w:line="142" w:lineRule="atLeast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физическую культуру и спорт-0тыс.</w:t>
      </w:r>
    </w:p>
    <w:p w:rsidR="00041E29" w:rsidRPr="00041E29" w:rsidRDefault="00041E29" w:rsidP="00041E29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spacing w:line="142" w:lineRule="atLeast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 выполнению майских 2012 года Указов президента — 21780 средняя заработная плата работников Культуры выдержана в сумме 21780.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Справка о бюджете МО «Вышнереутчанский сельсовет»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за 2015-2017годы.</w:t>
      </w:r>
    </w:p>
    <w:tbl>
      <w:tblPr>
        <w:tblW w:w="62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04"/>
        <w:gridCol w:w="920"/>
        <w:gridCol w:w="883"/>
        <w:gridCol w:w="883"/>
      </w:tblGrid>
      <w:tr w:rsidR="00041E29" w:rsidRPr="00041E29" w:rsidTr="00041E29">
        <w:trPr>
          <w:trHeight w:val="195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Отч.2015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Отч.2016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Отч.2017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2772,0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3582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4141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 и не налоговые доходы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1341,0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1475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1822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103,5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168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103,5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168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налоги на товары (работы,услуги)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уплаты акцизов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единый сельхозналог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1201,0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1273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1635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76,4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1124,7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1195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1565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42,4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</w:tr>
      <w:tr w:rsidR="00041E29" w:rsidRPr="00041E29" w:rsidTr="00041E29">
        <w:trPr>
          <w:trHeight w:val="45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использования имущества,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находящегося в государственной и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муниципальной собственности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</w:tr>
      <w:tr w:rsidR="00041E29" w:rsidRPr="00041E29" w:rsidTr="00041E29">
        <w:trPr>
          <w:trHeight w:val="8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Арендная плата за земли, находящиеся в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государственной собственности до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разграничения государственной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собственности на землю, и поступления от продажи права на заключ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ние договоров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аренды указанных земельных участков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7,4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8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находящегося в оперативном управл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нии органов управления городских о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ругов и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созданных ими учреждений и в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хозяйственном ведении муниципальным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унитарных предприятий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34,9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материальных и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нематериальных активов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неналоговые доходы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остатков субсидий и субвенций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прошлых лет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-57,0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041E29" w:rsidRPr="00041E29" w:rsidTr="00041E29">
        <w:trPr>
          <w:trHeight w:val="255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1487,0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2107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2319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бюджетов бюджетной системы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1487,0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2107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2319</w:t>
            </w:r>
          </w:p>
        </w:tc>
      </w:tr>
      <w:tr w:rsidR="00041E29" w:rsidRPr="00041E29" w:rsidTr="00041E29">
        <w:trPr>
          <w:trHeight w:val="45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городских округов на выравнивание уровня бюджетной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обеспеченности и сбалансированность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1114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1162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от других бюджетов бюдже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ной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системы Российской Федерации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72,7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157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от других бюджетов бю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жетной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системы российской федерации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62,3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238,1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1443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931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 расходы, всего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2882,7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3583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4104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435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1559,8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1868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2078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62,3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Национальная безопасность и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4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252,6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702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71,1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541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368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(молодежная политика)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Культура, кинематография, средства 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массовой информации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798,7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652</w:t>
            </w:r>
          </w:p>
        </w:tc>
      </w:tr>
      <w:tr w:rsidR="00041E29" w:rsidRPr="00041E29" w:rsidTr="00041E29">
        <w:trPr>
          <w:trHeight w:val="33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Здравоохранение, физическая культура </w:t>
            </w: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и спорт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3,5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041E29" w:rsidRPr="00041E29" w:rsidTr="00041E29">
        <w:trPr>
          <w:trHeight w:val="210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134,7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218</w:t>
            </w:r>
          </w:p>
        </w:tc>
      </w:tr>
      <w:tr w:rsidR="00041E29" w:rsidRPr="00041E29" w:rsidTr="00041E29">
        <w:trPr>
          <w:trHeight w:val="195"/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 Дефицит (-), профицит (+) бюджета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-111,5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41E29" w:rsidRPr="00041E29" w:rsidRDefault="00041E29" w:rsidP="00041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41E2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</w:tr>
    </w:tbl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Нормативно - правовое обеспечение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Основной груз решения вопросов местного значения, закрепленных ФЗ-131 от 06.10.2003г. «Об организации местного самоуправления в РФ» за поселением ложится на исполнительно-распорядительный орган местного самоуправления - Администрацию Вышнереутчанского сельсовета. Штатная численность Администрации сельсовета составляет 3 единицы, в том чи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ле муниципальных служащих-2 единицы. Все муниципальные служащие имеют высшее обр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зование, 3 прошли курсы повышения квалификации, все аттестованы.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9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За 2017 год проведена следующая работа: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9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1.Внесены изменения в Устав муниципального образования «Вышнереутчанский сельсовет» в соответствии с нормами действующего законодательства.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2.Собранием депутатов Вышнереутчанского сельсовета Медвенского района принято 82 решения.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3.Принято 100 распоряжения и 145 постановление Администрации Вышнереутчанского сельсовета Медвенского района.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Следует отметить, что все они соответствуют требованиям действующего законодательства, все нормативно правовые акты прошли антикоррупционную экспертизу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Работа с письменными и устными обращениями граждан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2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За 2017год в Администрацию Вышнереутчанского сельсовета поступило 39 обр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щения, из них письменных - 5 , устных — 34.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1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Личный прием граждан в администрации сельсовета осуществлялся в соответствии с графиком.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Из 39 поступивших обращений рассмотрено следующим образом: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решено положительно - 33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разъяснено –5, отказано-1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По характеру обращений это большинство вопросы жилищно-коммунального хозя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ства- 35 обращений, социальной защиты населения- 4, экономика-1.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2017году выдано 473 различного рода справок, выписок, характеристик -20 и т.д.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Большая работа проводится по предупреждению и ликвидации чрезвычайных ситуаций и обе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печению пожарной безопасности на территории сельсовета. Основными причинами пожаров является неосторожное обращение с огнем, в том числе при курении, неисправности печного отопления и электрических сетей, особенно среди населения «группы риска».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целях стабилизации пожарной обстановки осуществляется систематический ко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троль на территории поселения с привлечением работников администрации, старших по нас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ленным пунктам, внештатных пожарных инспекторов за соблюдением мер пожарной безопа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ности среди населения. Так же оказывается помощь людям в приобретении угля, дров, доставке сжиженного газа по домам. По мере возможности выделяется автомашина для отвоза в больн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цу. Сельхозтоваропроизводителями, арендующими земельные участки, нашим жителям оказ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вается помощь по обработке огородов, заготовке кормов, оказании ритуальных услуг, подвозе стройматериалов и т.д. С руководителями хозяйствующих субъектов работаем в тесном ко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такте. По мере возможности, оказывается помощь в расчистке от снега, грейдирование дорог, обкосах обочин, тушении пожаров. Особенно в летний пожароопасный период совместно 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шили возникающие очаги возгорания, предоставляли технику и людские силы. Оказывалась финансовая помощь в проведении праздников - Дня Победы, Дня Пожилых людей, Дня Ур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жая. Всем участвующим огромное спасибо за оказанную помощь и понимание.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Что касается работы общественного порядка на селе, мы также работаем в тесном контакте с участковым инспектором Подтуркиным С.Н. и членами ДНД, его кабинет находится в здании Вышнереутчанского СДК. Несмотря на то, что ему подведомственны 3 МО, он стр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мится разобраться по всем письменным и устным заявлениям.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ind w:firstLine="10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УВАЖАЕМЫЕ ДЕПУТАТЫ!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Решение вопросов местного значения осуществляется открыто и совместно с хозяйствующими субъектами, учреждениями, расположенными на территории поселения. Это позволяет сво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временно реагировать на местные вопросы и использовать принципы демократии в реализации местного самоуправления на территории сельсовета с участием слоев населения.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Администрации сельсовета в 2018году предстоит решать следующие задачи: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1 . Продолжить работу по асфальтированию дорог общего пользования местного значения.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2. Продолжить работу по оформлению прав собственности на объекты недвижимости МО, в том числе и на оставшиеся невостребованные земельные доли, расположенные в границах бывшего ПСХК «Реутчанский».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3.Внедрить информатизацию деятельности органов местного самоуправления, переход на пр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доставление муниципальных услуг в электронном виде.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4. Осуществлять пропаганду здорового образа жизни, создавать условия для занятий массовой физической культурой и спортом, также инвалидов.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5. Повышать уровень благоустройства села и улучшать качество жизни селян. Вести работу с гражданами по заключению договоров на вывоз мусора и отходов.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6. Укрепить материально-техническую базу МКУК «Вышнереутчанский СДК», Клуба Досуга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7 Подготовить техническую документацию, провести изыскательные работы по вступлению в программу строительства водопровода с Верхний Реутец.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8 Провести кадастровые работы и оформить в собственность кладбища.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9. Провести работу по оформлению водозабора пос Реутчанский в собственность.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Главная задача у всех нас – изменить к лучшему окружающий нас мир, улучшить экологич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скую обстановку.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В ежедневном общении с жителями наиболее часто встают вопросы, касающиеся санитарного состояния населенных пунктов, состояния дорог, проблемы водоснабжения, бродячих собак и всего, с чем сталкиваются люди каждый день. Но если ремонт дорог или строительство вод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провода требуют значительных средств, которыми мы не располагаем, то чистота вокруг св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его дома, порядок ухоженности своих садов, огородов, обустройство своего места жительства - это доступно каждому. А так хочется, чтобы в каждом нашем поселении, красивейшем во всем районе, было чисто и ухоженно, и чтобы всем жилось лучше.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eastAsia="Times New Roman" w:cs="Times New Roman"/>
          <w:color w:val="000000"/>
          <w:kern w:val="0"/>
          <w:lang w:eastAsia="ru-RU" w:bidi="ar-SA"/>
        </w:rPr>
        <w:t>Сама жизнь заставляет нас задуматься над тем, в какой среде мы живём, что сделать для окр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жающего мира. Самое элементарное, что можем сделать каждый -утилизировать бытовые 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ходы, не окружать свалками мусора свои дома, приусадебные территории, не накапливать их в лесу, посадить хотя бы одно деревце и разбить небольшую клумбу с цветами. Своё жизненное пространство нужно делать более комфортным своими же руками.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line="14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E2F43"/>
          <w:kern w:val="0"/>
          <w:sz w:val="12"/>
          <w:szCs w:val="12"/>
          <w:lang w:eastAsia="ru-RU" w:bidi="ar-SA"/>
        </w:rPr>
        <w:t> </w:t>
      </w:r>
      <w:r w:rsidRPr="00041E29">
        <w:rPr>
          <w:rFonts w:eastAsia="Times New Roman" w:cs="Times New Roman"/>
          <w:color w:val="0E2F43"/>
          <w:kern w:val="0"/>
          <w:lang w:eastAsia="ru-RU" w:bidi="ar-SA"/>
        </w:rPr>
        <w:t>Хочется обратиться к предпринимателям и гражданам села с просьбой проводить уборку пр</w:t>
      </w:r>
      <w:r w:rsidRPr="00041E29">
        <w:rPr>
          <w:rFonts w:eastAsia="Times New Roman" w:cs="Times New Roman"/>
          <w:color w:val="0E2F43"/>
          <w:kern w:val="0"/>
          <w:lang w:eastAsia="ru-RU" w:bidi="ar-SA"/>
        </w:rPr>
        <w:t>и</w:t>
      </w:r>
      <w:r w:rsidRPr="00041E29">
        <w:rPr>
          <w:rFonts w:eastAsia="Times New Roman" w:cs="Times New Roman"/>
          <w:color w:val="0E2F43"/>
          <w:kern w:val="0"/>
          <w:lang w:eastAsia="ru-RU" w:bidi="ar-SA"/>
        </w:rPr>
        <w:t>легающей территории ежедневно, не проходить мимо брошенной бумаги, пластиковой бутылки и другого мусора, который оказывается на вашей территории "благодаря всем нам" и никто не пришёл и не бросил мусор со стороны. Давайте уметь не только давать оценку чистоте или з</w:t>
      </w:r>
      <w:r w:rsidRPr="00041E29">
        <w:rPr>
          <w:rFonts w:eastAsia="Times New Roman" w:cs="Times New Roman"/>
          <w:color w:val="0E2F43"/>
          <w:kern w:val="0"/>
          <w:lang w:eastAsia="ru-RU" w:bidi="ar-SA"/>
        </w:rPr>
        <w:t>а</w:t>
      </w:r>
      <w:r w:rsidRPr="00041E29">
        <w:rPr>
          <w:rFonts w:eastAsia="Times New Roman" w:cs="Times New Roman"/>
          <w:color w:val="0E2F43"/>
          <w:kern w:val="0"/>
          <w:lang w:eastAsia="ru-RU" w:bidi="ar-SA"/>
        </w:rPr>
        <w:t>грязненности села, как это часто бывает, но и каждому следить за порядком вокруг.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 Все мы п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сельсовете, будет направлена на решение одной задачи- сделать сельское поселение лучшим. В заключении хотелось бы пожелать всем дальнейшей совместной плодотворной работы и до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041E29">
        <w:rPr>
          <w:rFonts w:eastAsia="Times New Roman" w:cs="Times New Roman"/>
          <w:color w:val="000000"/>
          <w:kern w:val="0"/>
          <w:lang w:eastAsia="ru-RU" w:bidi="ar-SA"/>
        </w:rPr>
        <w:t>тижения успехов в нашем общем деле на благо жителей сельсовета.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before="181" w:after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before="181" w:after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41E29" w:rsidRPr="00041E29" w:rsidRDefault="00041E29" w:rsidP="00041E29">
      <w:pPr>
        <w:widowControl/>
        <w:shd w:val="clear" w:color="auto" w:fill="EEEEEE"/>
        <w:suppressAutoHyphens w:val="0"/>
        <w:autoSpaceDN/>
        <w:spacing w:before="181" w:after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41E2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F0FD2" w:rsidRPr="00041E29" w:rsidRDefault="003F0FD2" w:rsidP="00041E29"/>
    <w:sectPr w:rsidR="003F0FD2" w:rsidRPr="00041E29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0B" w:rsidRDefault="00D42B0B" w:rsidP="003F0FD2">
      <w:r>
        <w:separator/>
      </w:r>
    </w:p>
  </w:endnote>
  <w:endnote w:type="continuationSeparator" w:id="0">
    <w:p w:rsidR="00D42B0B" w:rsidRDefault="00D42B0B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0B" w:rsidRDefault="00D42B0B" w:rsidP="003F0FD2">
      <w:r w:rsidRPr="003F0FD2">
        <w:rPr>
          <w:color w:val="000000"/>
        </w:rPr>
        <w:separator/>
      </w:r>
    </w:p>
  </w:footnote>
  <w:footnote w:type="continuationSeparator" w:id="0">
    <w:p w:rsidR="00D42B0B" w:rsidRDefault="00D42B0B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102114"/>
    <w:rsid w:val="003B41D1"/>
    <w:rsid w:val="003F0FD2"/>
    <w:rsid w:val="003F1D05"/>
    <w:rsid w:val="00D42B0B"/>
    <w:rsid w:val="00E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4284</Words>
  <Characters>24419</Characters>
  <Application>Microsoft Office Word</Application>
  <DocSecurity>0</DocSecurity>
  <Lines>203</Lines>
  <Paragraphs>57</Paragraphs>
  <ScaleCrop>false</ScaleCrop>
  <Company/>
  <LinksUpToDate>false</LinksUpToDate>
  <CharactersWithSpaces>28646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6</cp:revision>
  <cp:lastPrinted>2020-05-26T10:08:00Z</cp:lastPrinted>
  <dcterms:created xsi:type="dcterms:W3CDTF">2023-09-29T17:51:00Z</dcterms:created>
  <dcterms:modified xsi:type="dcterms:W3CDTF">2023-09-29T18:03:00Z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