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70" w:rsidRPr="00A83770" w:rsidRDefault="00A83770" w:rsidP="00811642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A83770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муниципальной программы «Комплексное развитие сельских территорий Вышнереутчанского сельсовета Медвенского района Курской области» на 2020 – 2025 гг.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 ВЫШНЕРЕУТЧАНСКОГО СЕЛЬСОВЕТА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27"/>
          <w:szCs w:val="27"/>
          <w:lang w:eastAsia="ru-RU" w:bidi="ar-SA"/>
        </w:rPr>
        <w:t>от 20.12.2019 года № 93-па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Об утверждении муниципальной программы «Комплексное развитие сельских территорий Вышнереутчанского сельсовета Медвенского района Курской области» на 2020 – 2025 гг.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 и дополнениями), постановлением Администрации Курской области от 06.11.2019 № 1066-па «Об утверждении государственной программы Курской области «Комплексное развитие сельских территорий Курской области»,</w:t>
      </w: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A83770">
        <w:rPr>
          <w:rFonts w:ascii="Tahoma" w:hAnsi="Tahoma" w:cs="Tahoma"/>
          <w:color w:val="000000"/>
          <w:sz w:val="27"/>
          <w:szCs w:val="27"/>
          <w:lang w:eastAsia="ru-RU" w:bidi="ar-SA"/>
        </w:rPr>
        <w:t>Уставом муниципального образования «Вышнереутчанский сельсовет» Медвенского района Курской области, в целях решения вопросов улучшения социальной привлекательности Вышнереутчанского сельсовета Медвенского района, создания комфортных условия для проживания,</w:t>
      </w:r>
      <w:r w:rsidRPr="00A83770">
        <w:rPr>
          <w:rFonts w:ascii="Calibri" w:hAnsi="Calibri" w:cs="Calibri"/>
          <w:color w:val="000000"/>
          <w:sz w:val="27"/>
          <w:szCs w:val="27"/>
          <w:lang w:eastAsia="ru-RU" w:bidi="ar-SA"/>
        </w:rPr>
        <w:t> </w:t>
      </w:r>
      <w:r w:rsidRPr="00A83770">
        <w:rPr>
          <w:rFonts w:ascii="Tahoma" w:hAnsi="Tahoma" w:cs="Tahoma"/>
          <w:color w:val="000000"/>
          <w:sz w:val="27"/>
          <w:szCs w:val="27"/>
          <w:lang w:eastAsia="ru-RU" w:bidi="ar-SA"/>
        </w:rPr>
        <w:t>Администрация Вышнереутчанского сельсовета Медвенского района Курской области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27"/>
          <w:szCs w:val="27"/>
          <w:lang w:eastAsia="ru-RU" w:bidi="ar-SA"/>
        </w:rPr>
        <w:t>1. Утвердить муниципальную программу «Комплексное развитие сельских территорий Вышнереутчанского сельсовета Медвенского района Курской области» на 2020 – 2025 гг. (прилагается).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27"/>
          <w:szCs w:val="27"/>
          <w:lang w:eastAsia="ru-RU" w:bidi="ar-SA"/>
        </w:rPr>
        <w:t>2.Контроль за выполнением настоящего постановления оставляю за собой.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27"/>
          <w:szCs w:val="27"/>
          <w:lang w:eastAsia="ru-RU" w:bidi="ar-SA"/>
        </w:rPr>
        <w:t>3. Настоящее постановление вступает в силу с 01.01.2020 года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Утверждена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постановлением Администрации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Вышнереутчанского сельсовета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Медвенского района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от 20.12.2019№ 93-па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Муниципальная программа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«Комплексное развитие сельских территорий Вышнереутчанского сельсовета Медвенского района Курской области» на 2020 – 2025 гг.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b/>
          <w:bCs/>
          <w:color w:val="000000"/>
          <w:lang w:eastAsia="ru-RU" w:bidi="ar-SA"/>
        </w:rPr>
        <w:t>Паспорт муниципальной программы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«Комплексное развитие сельских территорий Вышнереутчанского сельсовета Медвенского района Курской области» на 2020 – 2025 гг.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7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5"/>
        <w:gridCol w:w="3765"/>
      </w:tblGrid>
      <w:tr w:rsidR="00A83770" w:rsidRPr="00A83770" w:rsidTr="00A83770">
        <w:trPr>
          <w:trHeight w:val="45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Наименование  Программы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«Комплексное развитие сельских территорий Вышнереутчанского сельсовета Медвенского района Курской области» (далее – «Программа»)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 Медвенского района Курской области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Разработчик Программы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 Медвенского района Курской области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Исполнители мероприятий Программы: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 Медвенского района Курской области,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Подпрограммы Программы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1. «Организация и содержание прочих объектов благоустройства на территории Вышнереутчанского сельсовета Медвенского района Курской области»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Основная цель Программы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shd w:val="clear" w:color="auto" w:fill="FFFFFF"/>
              <w:autoSpaceDE/>
              <w:autoSpaceDN/>
              <w:adjustRightInd/>
              <w:spacing w:line="60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Совершенствование системы комплексного благоустройства сельских территорий Вышнереутчанского сельсовета Медвенского района Курской области, создание комфортных условий проживания и отдыха населения.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 xml:space="preserve">Основные задачи </w:t>
            </w:r>
            <w:r w:rsidRPr="00A83770">
              <w:rPr>
                <w:rFonts w:cs="Times New Roman"/>
                <w:lang w:eastAsia="ru-RU" w:bidi="ar-SA"/>
              </w:rPr>
              <w:lastRenderedPageBreak/>
              <w:t>Программы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lastRenderedPageBreak/>
              <w:t xml:space="preserve">1.Организация взаимодействия </w:t>
            </w:r>
            <w:r w:rsidRPr="00A83770">
              <w:rPr>
                <w:rFonts w:cs="Times New Roman"/>
                <w:lang w:eastAsia="ru-RU" w:bidi="ar-SA"/>
              </w:rPr>
              <w:lastRenderedPageBreak/>
              <w:t>между предприятиями, организациями и учреждениями при решении вопросов благоустройства территории Вышнереутчанского сельсовета Медвенского района Курской области.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2.Стимулирование инвестиционной активности в агропромышленном комплексе путем создания благоприятных инфраструктурных условий на территории Вышнереутчанского сельсовета Медвенского района.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3. Приведение в качественное состояние элементов благоустройства: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организация пешеходных коммуникаций, в том числе тротуаров, аллей, дорожек, тропинок;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обустройство территории в целях обеспечения беспрепятственного передвижения инвалидов и других маломобильных групп населения;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организация ливневых стоков;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обустройство общественных колодцев и водозаборных колонок;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обустройство площадок накопления твердых коммунальных отходов;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сохранение и восстановление природных ландшафтов и историко-культурных памятников.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благоустройство территорий, прилегающих к зданиям, строениям и сооружениям, являющимися муниципальной собственностью;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lastRenderedPageBreak/>
              <w:t>- создание малых архитектурных форм;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благоустройство площадей, центральных улиц, пешеходных дорожек и освещения, не входящих в элементы обустройства автомобильных дорог общего пользования.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3.Привлечение жителей к участию в решении проблем благоустройства.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4. Восстановление и реконструкция уличного освещения, установка светильников в населенных пунктах.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5. Оздоровление санитарной экологической обстановки, ликвидация свалок бытового мусора.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6.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lastRenderedPageBreak/>
              <w:t>Показатели и целевые индикаторы Программы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-процент соответствия объектов внешнего благоустройства (наружного освещения) ГОСТу;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 процент привлечения населения муниципального образования к работам по благоустройству;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 процент привлечения предприятий и организаций к работам по благоустройству;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 ликвидация стихийных свалок;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 удаление сухостойных, больных и аварийных деревьев.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Этапы и сроки реализации программы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2020-2025 годы, в один этап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60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 xml:space="preserve">Объемы и источники финансирования Программы по годам </w:t>
            </w:r>
            <w:r w:rsidRPr="00A83770">
              <w:rPr>
                <w:rFonts w:cs="Times New Roman"/>
                <w:lang w:eastAsia="ru-RU" w:bidi="ar-SA"/>
              </w:rPr>
              <w:lastRenderedPageBreak/>
              <w:t>реализации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lastRenderedPageBreak/>
              <w:t xml:space="preserve">Общий объем финансовых средств на реализацию мероприятий Программы за весь </w:t>
            </w:r>
            <w:r w:rsidRPr="00A83770">
              <w:rPr>
                <w:rFonts w:cs="Times New Roman"/>
                <w:lang w:eastAsia="ru-RU" w:bidi="ar-SA"/>
              </w:rPr>
              <w:lastRenderedPageBreak/>
              <w:t>период из бюджетов всех уровней составляет 25098,0 тыс. рублей, в том числе по годам: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2020 год – 2510,0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2021 год – 8970,00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2022 год – 6419,0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2023 год – 5699,0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2024 год – 1500,0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2025 год – 0,0 тыс. рублей.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По подпрограмме «Организация и содержание прочих объектов благоустройства на территории Вышнереутчанского сельсовета Медвенского района Курской области» объем финансовых средств из бюджетов всех уровней составляет 25098,0 тыс. рублей, в том числе по годам: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2020 год – 2510,0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2021 год – 8970,00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2022 год – 6419,0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2023 год – 5699,0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2024 год – 1500,0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2025 год – 0,0 тыс. рублей.</w:t>
            </w:r>
          </w:p>
        </w:tc>
      </w:tr>
      <w:tr w:rsidR="00A83770" w:rsidRPr="00A83770" w:rsidTr="00A83770">
        <w:trPr>
          <w:trHeight w:val="45"/>
          <w:tblCellSpacing w:w="0" w:type="dxa"/>
        </w:trPr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Единое управление комплексным благоустройством Вышнереутчанского сельсовета Медвенского района Курской области.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Определение перспективы улучшения благоустройства Вышнереутчанского сельсовета Медвенского района Курской области.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-Создание условий для работы и отдыха жителей поселения.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-Улучшение состояния территории Вышнереутчанского сельсовета Медвенского района Курской области.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Привитие жителям муниципального образования любви и уважения к своему селу, к соблюдению чистоты и порядка на территории Вышнереутчанского сельсовета Медвенского района Курской области.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 xml:space="preserve">- Совершенствование </w:t>
            </w:r>
            <w:r w:rsidRPr="00A83770">
              <w:rPr>
                <w:rFonts w:cs="Times New Roman"/>
                <w:lang w:eastAsia="ru-RU" w:bidi="ar-SA"/>
              </w:rPr>
              <w:lastRenderedPageBreak/>
              <w:t>эстетического состояния территории.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Благоустроенность населенных пунктов поселения.</w:t>
            </w:r>
          </w:p>
        </w:tc>
      </w:tr>
    </w:tbl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Раздел 1. Содержание проблемы и обоснование необходимости её решения программными мероприятиями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В настоящее время население Вышнереутчанского сельсовета Медвенского района Курской области составляет 1744 человека. 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населенных пунктов Вышнереутчанского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Вышнереутчанского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Раздел 2. Основные цели и задачи, сроки и этапы реализации, целевые индикаторы и показатели программы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Основной целью Программы является комплексное решение проблем благоустройства, улучшение санитарного и эстетического вида территории Вышнереутчанского сельсовета, обустройство внутриквартальных проездов, тротуаров, зон зелёных насаждений, детских игровых и спортивных площадок, мест отдыха с установленными в них малыми архитектурными формами, обеспечению уличного освещения населенных пунктов и территории Вышнереутчанского сельсовета, улучшение экологической обстановки, создание комфортной среды проживания на территории Вышнереутчанского сельсовета.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Задачи Программы направлены на повышение уровня комплексного благоустройства территорий населенных пунктов Вышнереутчанского сельсовета: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совершенствование системы комплексного благоустройства сельских территорий Вышнереутчанского сельсовета Медвенского района Курской области, обеспечение эстетического вида сельсовета, создание гармоничной архитектурно-ландшафтной среды;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lastRenderedPageBreak/>
        <w:t>- организация пешеходных коммуникаций, в том числе тротуаров, аллей, дорожек, тропинок;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организация ливневых стоков;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обустройство общественных колодцев и водозаборных колонок;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обустройство площадок накопления твердых коммунальных отходов;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сохранение и восстановление природных ландшафтов и историко-культурных памятников.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ремонт фасадов зданий, строений и сооружений, являющихся муниципальной собственностью;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благоустройство территорий, прилегающих к зданиям, строениям и сооружениям, являющимися муниципальной собственностью;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создание малых архитектурных форм;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благоустройство площадей, центральных улиц, пешеходных дорожек и освещения, не входящих в обустройство в элементы обустройства автомобильных дорог общего пользования;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оздоровление санитарной экологической обстановки в местах санкционированного размещения ТБО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создание комфортных условий для проживания граждан.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Показатели и целевые индикаторы Программы: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- процент соответствия объектов внешнего благоустройства (наружного освещения) ГОСТу;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- процент привлечения населения муниципального образования к работам по благоустройству;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- процент привлечения предприятий и организаций к работам по благоустройству;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- ликвидация стихийных свалок;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удаление сухостойных, больных и аварийных деревьев.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Сроки реализации Программы. 2020-2025 годы, в один этап.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Раздел 3. Система программных мероприятий, ресурсное обеспечение Программы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Для обеспечения Программы предлагается регулярно проводить следующие мероприятия: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мероприятия по удалению сухостойных, больных и аварийных деревьев;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мероприятия по санитарной очистке территории (ликвидация несанкционированных свалок, скашивание травы в летний период вдоль дорог населенных пунктов).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lastRenderedPageBreak/>
        <w:t>Общий объем финансирования Программы составляет 25098,0 тыс. рублей (Приложение № 1).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Раздел 4. Нормативное обеспечение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совершенствованию систем уличного освещения населенных пунктов Вышнереутчанский сельсовета Медвенского района,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Финансирование программных мероприятий будет осуществляться исходя из возможностей местного бюджета, а также за счет предполагаемых субсидий из областного бюджета по мере их выделения.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Направление исполнения,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Вышнереутчанского сельсовета.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Управление реализацией Программы осуществляет муниципальный заказчик Программы - Администрация Вышнереутчанского сельсовета Медвенского района.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Муниципальным Заказчиком Программы выполняются следующие основные задачи: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экономический анализ эффективности программных проектов и мероприятий Программы;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подготовка предложений по составлению плана инвестиционных и текущих расходов на очередной период;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Контроль за реализацией Программы осуществляется Администрацией Вышнереутчанского сельсовета Медвенского района.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Исполнитель Программы – Администрация Вышнереутчанского сельсовета Медвенского района: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 в срок до 01 апреля года, следующего за отчетным представляет отчет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осуществляет обобщение и подготовку информации о ходе реализации мероприятий Программы.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Эффективность социально-экономических и экологических последствий реализации Программы в большинстве своем зависят от степени достижения целевых показателей, представленных в приложении № 2 к настоящей Программе.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Предложенные Программой мероприятия позволят решить задачи, направленные на достижение поставленной цели, с учетом финансовых возможностей и достигнуть социальных положительных результатов: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ликвидация стихийных свалок;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удаление сухостойных, больных и аварийных деревьев.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36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Эффективность программы оценивается также по следующим показателям: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36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процент соответствия объектов внешнего благоустройства (озеленения, наружного освещения) ГОСТу;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36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процент привлечения населения муниципального образования к работам по благоустройству;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36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процент привлечения предприятий и организаций к работам по благоустройству;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36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56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lastRenderedPageBreak/>
        <w:t>Оценка эффективности реализации Программы осуществляется заказчиком по итогам ее исполнения за отчетный период.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56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Оценка эффективности Программы будет производиться путем сравнения целевых показателей, представленных в приложении № 2 к настоящей Программе.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При необходимости значения целевых показателей будут уточняться.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Подпрограмма «Организация и содержание прочих объектов благоустройства на территории Вышнереутчанского сельсовета Медвенского района Курской области» муниципальной программы «Комплексное развитие сельских территорий Вышнереутчанского сельсовета Медвенского района Курской области» на 2020 – 2025 гг.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Паспорт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Подпрограммы</w:t>
      </w:r>
      <w:r w:rsidRPr="00A83770">
        <w:rPr>
          <w:rFonts w:ascii="Tahoma" w:hAnsi="Tahoma" w:cs="Tahoma"/>
          <w:color w:val="000000"/>
          <w:lang w:eastAsia="ru-RU" w:bidi="ar-SA"/>
        </w:rPr>
        <w:t> </w:t>
      </w:r>
      <w:r w:rsidRPr="00A83770">
        <w:rPr>
          <w:rFonts w:ascii="Tahoma" w:hAnsi="Tahoma" w:cs="Tahoma"/>
          <w:b/>
          <w:bCs/>
          <w:color w:val="000000"/>
          <w:lang w:eastAsia="ru-RU" w:bidi="ar-SA"/>
        </w:rPr>
        <w:t>«Организация и содержание прочих объектов благоустройства на территории Вышнереутчанского сельсовета Медвенского района Курской области» муниципальной программы «Комплексное развитие сельских территорий Вышнереутчанского сельсовета Медвенского района Курской области» на 2020 – 2025 гг.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7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86"/>
        <w:gridCol w:w="4554"/>
      </w:tblGrid>
      <w:tr w:rsidR="00A83770" w:rsidRPr="00A83770" w:rsidTr="00A83770">
        <w:trPr>
          <w:trHeight w:val="1185"/>
          <w:tblCellSpacing w:w="0" w:type="dxa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 Медвенского района Курской области</w:t>
            </w:r>
          </w:p>
        </w:tc>
      </w:tr>
      <w:tr w:rsidR="00A83770" w:rsidRPr="00A83770" w:rsidTr="00A83770">
        <w:trPr>
          <w:trHeight w:val="1200"/>
          <w:tblCellSpacing w:w="0" w:type="dxa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Основная цель Подпрограммы</w:t>
            </w:r>
          </w:p>
        </w:tc>
        <w:tc>
          <w:tcPr>
            <w:tcW w:w="7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shd w:val="clear" w:color="auto" w:fill="FFFFFF"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Совершенствование системы комплексного благоустройства Вышнереутчанского сельсовета Медвенского района Курской области, создание комфортных условий проживания и отдыха населения</w:t>
            </w:r>
          </w:p>
        </w:tc>
      </w:tr>
      <w:tr w:rsidR="00A83770" w:rsidRPr="00A83770" w:rsidTr="00A83770">
        <w:trPr>
          <w:trHeight w:val="1200"/>
          <w:tblCellSpacing w:w="0" w:type="dxa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Основные задачи Подпрограммы</w:t>
            </w:r>
          </w:p>
        </w:tc>
        <w:tc>
          <w:tcPr>
            <w:tcW w:w="7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Вышнереутчанского сельсовета Медвенского района;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организация пешеходных коммуникаций, в том числе тротуаров, аллей, дорожек, тропинок;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обустройство территории в целях обеспечения беспрепятственного передвижения инвалидов и других маломобильных групп населения;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организация ливневых стоков;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обустройство общественных колодцев и водозаборных колонок;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обустройство площадок накопления твердых коммунальных отходов;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сохранение и восстановление природных ландшафтов и историко-культурных памятников.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благоустройство территорий, прилегающих к зданиям, строениям и сооружениям, являющимися муниципальной собственностью;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создание малых архитектурных форм;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 xml:space="preserve">- благоустройство площадей, центральных улиц, пешеходных дорожек и освещения, не входящих в элементы обустройства автомобильных дорог </w:t>
            </w:r>
            <w:r w:rsidRPr="00A83770">
              <w:rPr>
                <w:rFonts w:cs="Times New Roman"/>
                <w:lang w:eastAsia="ru-RU" w:bidi="ar-SA"/>
              </w:rPr>
              <w:lastRenderedPageBreak/>
              <w:t>общего пользования.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привлечение жителей к участию в решении проблем благоустройства.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восстановление и реконструкция уличного освещения, установка светильников в населенных пунктах.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оздоровление санитарной экологической обстановки, ликвидация свалок бытового мусора.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привлечение жителей к участию в решении проблем благоустройства;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оздоровление санитарной экологической обстановки, ликвидация свалок бытового мусора;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83770" w:rsidRPr="00A83770" w:rsidTr="00A83770">
        <w:trPr>
          <w:trHeight w:val="1200"/>
          <w:tblCellSpacing w:w="0" w:type="dxa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lastRenderedPageBreak/>
              <w:t>Показатели и целевые индикаторы Подпрограммы</w:t>
            </w:r>
          </w:p>
        </w:tc>
        <w:tc>
          <w:tcPr>
            <w:tcW w:w="7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 процент привлечения населения муниципального образования к работам по благоустройству;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 процент привлечения предприятий и организаций к работам по благоустройству;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 и т.п.);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 уровень благоустроенности муниципального образования;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- ликвидация стихийных свалок;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удаление сухостойных, больных и аварийных деревьев</w:t>
            </w:r>
          </w:p>
        </w:tc>
      </w:tr>
      <w:tr w:rsidR="00A83770" w:rsidRPr="00A83770" w:rsidTr="00A83770">
        <w:trPr>
          <w:trHeight w:val="1200"/>
          <w:tblCellSpacing w:w="0" w:type="dxa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Этапы и сроки реализации Подпрограммы</w:t>
            </w:r>
          </w:p>
        </w:tc>
        <w:tc>
          <w:tcPr>
            <w:tcW w:w="7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2020-2025 годы, в один этап</w:t>
            </w:r>
          </w:p>
        </w:tc>
      </w:tr>
      <w:tr w:rsidR="00A83770" w:rsidRPr="00A83770" w:rsidTr="00A83770">
        <w:trPr>
          <w:trHeight w:val="1200"/>
          <w:tblCellSpacing w:w="0" w:type="dxa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Объемы и источники финансирования Подпрограммы по годам реализации</w:t>
            </w:r>
          </w:p>
        </w:tc>
        <w:tc>
          <w:tcPr>
            <w:tcW w:w="7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 xml:space="preserve">По подпрограмме «Организация и содержание прочих объектов благоустройства на территории Вышнереутчанского сельсовета Медвенского района Курской области» объем финансовых средств из бюджетов </w:t>
            </w:r>
            <w:r w:rsidRPr="00A83770">
              <w:rPr>
                <w:rFonts w:cs="Times New Roman"/>
                <w:lang w:eastAsia="ru-RU" w:bidi="ar-SA"/>
              </w:rPr>
              <w:lastRenderedPageBreak/>
              <w:t>всех уровней составляет 25098,0 тыс. рублей, в том числе по годам: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2020 год – 2510,0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2021 год – 8970,00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2022 год – 6419,0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2023 год – 5699,0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2024 год – 1500,0 тыс. рублей;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2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2025 год – 0,0 тыс. рублей.</w:t>
            </w:r>
          </w:p>
        </w:tc>
      </w:tr>
      <w:tr w:rsidR="00A83770" w:rsidRPr="00A83770" w:rsidTr="00A83770">
        <w:trPr>
          <w:trHeight w:val="1185"/>
          <w:tblCellSpacing w:w="0" w:type="dxa"/>
        </w:trPr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Единое управление комплексным благоустройством муниципального образования.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-Определение перспективы улучшения благоустройства территории Вышнереутчанского сельсовета Медвенского района.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-Создание условий для работы и отдыха жителей поселения.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-Улучшение состояния территории Вышнереутчанского сельсовета Медвенского района.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Привитие жителям муниципального образования любви и уважения к своему поселению, к соблюдению чистоты и порядка на территории Вышнереутчанского сельсовета Медвенского района.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Совершенствование эстетического состояния территории.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ind w:firstLine="39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- Благоустроенность населенных пунктов поселения.</w:t>
            </w:r>
          </w:p>
        </w:tc>
      </w:tr>
    </w:tbl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Раздел 1. Содержание проблемы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28" w:after="28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Раздел 2. Основные цели и задачи, сроки и этапы реализации, целевые индикаторы и показатели подпрограммы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Основной целью Подпрограммы является совершенствование системы комплексного благоустройства территории Вышнереутчанского сельсовета Медвенского района Курской области, создание комфортных условий проживания и отдыха населения.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lastRenderedPageBreak/>
        <w:t>Задачи Подпрограммы направлены на повышение уровня комплексного благоустройства территорий населенных пунктов Вышнереутчанского сельсовета Медвенского района: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Вышнереутчанского сельсовета;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приведение в качественное состояние элементов благоустройства;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привлечение жителей к участию в решении проблем благоустройства;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совершенствование системы комплексного благоустройства сельских территорий Вышнереутчанского сельсовета Медвенского района Курской области, обеспечение эстетического вида сельсовета, создание гармоничной архитектурно-ландшафтной среды;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организация пешеходных коммуникаций, в том числе тротуаров, аллей, дорожек, тропинок;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организация ливневых стоков;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обустройство общественных колодцев и водозаборных колонок;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обустройство площадок накопления твердых коммунальных отходов;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сохранение и восстановление природных ландшафтов и историко-культурных памятников.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ремонт фасадов зданий, строений и сооружений, являющихся муниципальной собственностью;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благоустройство территорий, прилегающих к зданиям, строениям и сооружениям, являющимися муниципальной собственностью;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создание малых архитектурных форм;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благоустройство площадей, центральных улиц, пешеходных дорожек и освещения, не входящих в обустройство в элементы обустройства автомобильных дорог общего пользования;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оздоровление санитарной экологической обстановки в местах санкционированного размещения ТБО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создание комфортных условий для проживания граждан.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удаление сухостойных, больных и аварийных деревьев;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lastRenderedPageBreak/>
        <w:t>Показатели и целевые индикаторы Подпрограммы: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- процент соответствия объектов внешнего благоустройства (наружного освещения) ГОСТу;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- процент привлечения населения муниципального образования к работам по благоустройству;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- процент привлечения предприятий и организаций к работам по благоустройству;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0"/>
          <w:lang w:eastAsia="ru-RU" w:bidi="ar-SA"/>
        </w:rPr>
        <w:t>- ликвидация стихийных свалок;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- удаление сухостойных, больных и аварийных деревьев.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Сроки реализации Программы. 2020-2025 годы, в один этап.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F8FAFB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Раздел 3. Система программных мероприятий, ресурсное обеспечение Подпрограммы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Для обеспечения Подпрограммы предлагается регулярно проводить следующие мероприятия: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совершенствованию систем уличного освещения населенных пунктов Вышнереутчанского сельсовета Медвенского района,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color w:val="00000A"/>
          <w:lang w:eastAsia="ru-RU" w:bidi="ar-SA"/>
        </w:rPr>
        <w:t>-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Финансирование программных мероприятий будет осуществляться исходя из возможностей местного бюджета, а также за счет предполагаемых субсидий из областного бюджета по мере их выделения.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lastRenderedPageBreak/>
        <w:t>Общий объем финансовых средств из бюджетов всех уровней составляет 25098,0 тыс. рублей.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32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Приложение №1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к муниципальной программе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103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«Комплексное развитие сельских территорий Выш</w:t>
      </w:r>
      <w:r w:rsidRPr="00A83770">
        <w:rPr>
          <w:rFonts w:ascii="Tahoma" w:hAnsi="Tahoma" w:cs="Tahoma"/>
          <w:color w:val="000000"/>
          <w:lang w:eastAsia="ru-RU" w:bidi="ar-SA"/>
        </w:rPr>
        <w:lastRenderedPageBreak/>
        <w:t>нереутчанского сельсовета Медвенского района Курск</w:t>
      </w:r>
      <w:r w:rsidRPr="00A83770">
        <w:rPr>
          <w:rFonts w:ascii="Tahoma" w:hAnsi="Tahoma" w:cs="Tahoma"/>
          <w:color w:val="000000"/>
          <w:lang w:eastAsia="ru-RU" w:bidi="ar-SA"/>
        </w:rPr>
        <w:lastRenderedPageBreak/>
        <w:t>ой области»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Система программных мероприятий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b/>
          <w:bCs/>
          <w:color w:val="000000"/>
          <w:lang w:eastAsia="ru-RU" w:bidi="ar-SA"/>
        </w:rPr>
        <w:t>муниципальной программы «Комплексное развитие сельских территорий Вышнереутчанского сельсовета Медвенского района Курской области» 2020 – 2025 гг.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2441"/>
        <w:gridCol w:w="1810"/>
        <w:gridCol w:w="1089"/>
        <w:gridCol w:w="760"/>
        <w:gridCol w:w="760"/>
        <w:gridCol w:w="760"/>
        <w:gridCol w:w="760"/>
        <w:gridCol w:w="760"/>
        <w:gridCol w:w="580"/>
        <w:gridCol w:w="2047"/>
        <w:gridCol w:w="163"/>
      </w:tblGrid>
      <w:tr w:rsidR="00A83770" w:rsidRPr="00A83770" w:rsidTr="00A83770">
        <w:trPr>
          <w:tblCellSpacing w:w="0" w:type="dxa"/>
        </w:trPr>
        <w:tc>
          <w:tcPr>
            <w:tcW w:w="3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№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п/п</w:t>
            </w:r>
          </w:p>
        </w:tc>
        <w:tc>
          <w:tcPr>
            <w:tcW w:w="23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Наименование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Источники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финансирования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Сумма расходов,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всего тыс. руб.</w:t>
            </w:r>
          </w:p>
        </w:tc>
        <w:tc>
          <w:tcPr>
            <w:tcW w:w="735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В том числе по годам: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Ответственные за реализацию мероприятий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83770" w:rsidRPr="00A83770" w:rsidTr="00A8377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2022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2023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2024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2025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1.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b/>
                <w:bCs/>
                <w:i/>
                <w:iCs/>
                <w:lang w:eastAsia="ru-RU" w:bidi="ar-SA"/>
              </w:rPr>
              <w:t>Обустройство территории образовательных организаций в целях обеспечения беспрепятственного продвижения</w:t>
            </w:r>
          </w:p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b/>
                <w:bCs/>
                <w:i/>
                <w:iCs/>
                <w:lang w:eastAsia="ru-RU" w:bidi="ar-SA"/>
              </w:rPr>
              <w:t>инвалидов и других маломобильных групп населения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бюджеты всех уровней; внебюджетные источники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2198,0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99,0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1099,0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1000,0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left="-108"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left="-108"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2.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Устройство спортивной площадки в селе Верхний Реутец (территория школы)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бюджеты всех уровней; внебюджетные источники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5100,0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5000,0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left="-108"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left="-108"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3.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Устройство детско-игровой спортивной площадки в поселке Любач (территория между школой и СДК)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бюджеты всех уровней; внебюджетные источники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2050,0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2000,0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left="-108"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left="-108"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4.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Обустройство зоны отдыха в селе Верхний Реутец с устройством освещения и пешеходных дорожек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бюджеты всех уровней; внебюджетные источники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1030,0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1000,0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left="-108"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left="-108"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5.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Обустройство зоны отдыха в п.Любач с устройством освещения и пешеходных дорожек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бюджеты всех уровней; внебюджетные источники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1030,0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1000,0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6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Освещение территории сельсовета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 xml:space="preserve">бюджеты всех уровней; </w:t>
            </w:r>
            <w:r w:rsidRPr="00A83770">
              <w:rPr>
                <w:rFonts w:cs="Times New Roman"/>
                <w:lang w:eastAsia="ru-RU" w:bidi="ar-SA"/>
              </w:rPr>
              <w:lastRenderedPageBreak/>
              <w:t>внебюджетные источники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lastRenderedPageBreak/>
              <w:t>2030,0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2000,0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 xml:space="preserve">Администрация Вышнереутчанского </w:t>
            </w:r>
            <w:r w:rsidRPr="00A83770">
              <w:rPr>
                <w:rFonts w:cs="Times New Roman"/>
                <w:lang w:eastAsia="ru-RU" w:bidi="ar-SA"/>
              </w:rPr>
              <w:lastRenderedPageBreak/>
              <w:t>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lastRenderedPageBreak/>
              <w:t>7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Капитальный ремонт Вышнереутчанского СДК (замена кровли, оконных и дверных блоков, электропроводки, устройство отмостки)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бюджеты всех уровней; внебюджетные источники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7300,0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300,0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3500,0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3500,0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8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Капитальный ремонт здания Любачанского СДК, п.Любач (замена оконных и дверных блоков)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бюджеты всех уровней; внебюджетные источники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500,0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300,0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200,0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9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Создание модельной библиотеки в с.Верхний Реутец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бюджеты всех уровней; внебюджетные источники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1100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1000,0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b/>
                <w:bCs/>
                <w:i/>
                <w:iCs/>
                <w:color w:val="000000"/>
                <w:lang w:eastAsia="ru-RU" w:bidi="ar-SA"/>
              </w:rPr>
              <w:t>Благоустройство памятных мест и воинских захоронений </w:t>
            </w:r>
            <w:r w:rsidRPr="00A83770">
              <w:rPr>
                <w:rFonts w:cs="Times New Roman"/>
                <w:color w:val="000000"/>
                <w:lang w:eastAsia="ru-RU" w:bidi="ar-SA"/>
              </w:rPr>
              <w:t>Стела погибшим воинам (Братская могила), с.ГаховоПамятник погибшим воинам (памятник воинам – односельчанам), п.Любач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бюджеты всех уровней; внебюджетные источники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1200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100,0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600,0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500,0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11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ind w:left="-62" w:right="-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b/>
                <w:bCs/>
                <w:i/>
                <w:iCs/>
                <w:lang w:eastAsia="ru-RU" w:bidi="ar-SA"/>
              </w:rPr>
              <w:t>Обустройство мест захороненияКладбище с.Гахово Медвенского районаКладбище с. 1-й ЛиповецКладбище с.Ванино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60" w:lineRule="atLeast"/>
              <w:ind w:right="-10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1560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520,0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520,0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500,0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инистрация Вышнереутчанского сельсовета</w:t>
            </w:r>
          </w:p>
        </w:tc>
      </w:tr>
      <w:tr w:rsidR="00A83770" w:rsidRPr="00A83770" w:rsidTr="00A83770">
        <w:trPr>
          <w:trHeight w:val="60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25098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2510,0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8970,0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6419,0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5699,0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1500,0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6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83770" w:rsidRPr="00A83770" w:rsidTr="00A83770">
        <w:trPr>
          <w:trHeight w:val="45"/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b/>
                <w:bCs/>
                <w:lang w:eastAsia="ru-RU" w:bidi="ar-SA"/>
              </w:rPr>
              <w:t>ВСЕГО по программе: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b/>
                <w:bCs/>
                <w:lang w:eastAsia="ru-RU" w:bidi="ar-SA"/>
              </w:rPr>
              <w:t>25098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2510,0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8970,0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6419,0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5699,0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1500,0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 w:line="4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Приложение № 2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к муниципальной программе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ind w:left="1020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lang w:eastAsia="ru-RU" w:bidi="ar-SA"/>
        </w:rPr>
        <w:t>«Комплек</w:t>
      </w:r>
      <w:r w:rsidRPr="00A83770">
        <w:rPr>
          <w:rFonts w:ascii="Tahoma" w:hAnsi="Tahoma" w:cs="Tahoma"/>
          <w:color w:val="000000"/>
          <w:lang w:eastAsia="ru-RU" w:bidi="ar-SA"/>
        </w:rPr>
        <w:lastRenderedPageBreak/>
        <w:t>сное развитие сельских территорий Вышнереутчанског</w:t>
      </w:r>
      <w:r w:rsidRPr="00A83770">
        <w:rPr>
          <w:rFonts w:ascii="Tahoma" w:hAnsi="Tahoma" w:cs="Tahoma"/>
          <w:color w:val="000000"/>
          <w:lang w:eastAsia="ru-RU" w:bidi="ar-SA"/>
        </w:rPr>
        <w:lastRenderedPageBreak/>
        <w:t>о сельсовета Медвенского района Курской области»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0" w:name="Par212"/>
      <w:bookmarkEnd w:id="0"/>
      <w:r w:rsidRPr="00A83770">
        <w:rPr>
          <w:rFonts w:ascii="Tahoma" w:hAnsi="Tahoma" w:cs="Tahoma"/>
          <w:b/>
          <w:bCs/>
          <w:color w:val="000000"/>
          <w:lang w:eastAsia="ru-RU" w:bidi="ar-SA"/>
        </w:rPr>
        <w:lastRenderedPageBreak/>
        <w:t>Прогнозируемые значения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b/>
          <w:bCs/>
          <w:color w:val="000000"/>
          <w:lang w:eastAsia="ru-RU" w:bidi="ar-SA"/>
        </w:rPr>
        <w:t>целевых индикаторов и показателей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cs="Times New Roman"/>
          <w:b/>
          <w:bCs/>
          <w:color w:val="000000"/>
          <w:lang w:eastAsia="ru-RU" w:bidi="ar-SA"/>
        </w:rPr>
        <w:t>муниципальной программы «Комплексное развитие сельских территорий Вышнереутчанского сельсовета Медвенского района Курской области» на 2020 – 2025 гг.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9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41"/>
        <w:gridCol w:w="1325"/>
        <w:gridCol w:w="1415"/>
        <w:gridCol w:w="7"/>
        <w:gridCol w:w="613"/>
        <w:gridCol w:w="605"/>
        <w:gridCol w:w="742"/>
        <w:gridCol w:w="783"/>
        <w:gridCol w:w="634"/>
        <w:gridCol w:w="1385"/>
      </w:tblGrid>
      <w:tr w:rsidR="00A83770" w:rsidRPr="00A83770" w:rsidTr="00A83770">
        <w:trPr>
          <w:tblCellSpacing w:w="0" w:type="dxa"/>
        </w:trPr>
        <w:tc>
          <w:tcPr>
            <w:tcW w:w="27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Значение индикаторов и показателей Программы</w:t>
            </w:r>
          </w:p>
        </w:tc>
        <w:tc>
          <w:tcPr>
            <w:tcW w:w="813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83770" w:rsidRPr="00A83770" w:rsidTr="00A8377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До начала реализации Программы (2019 год)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2020 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2021 г.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2022 г.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2023г.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2024г.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2025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За период реализации Программы</w:t>
            </w:r>
          </w:p>
        </w:tc>
      </w:tr>
      <w:tr w:rsidR="00A83770" w:rsidRPr="00A83770" w:rsidTr="00A83770">
        <w:trPr>
          <w:trHeight w:val="285"/>
          <w:tblCellSpacing w:w="0" w:type="dxa"/>
        </w:trPr>
        <w:tc>
          <w:tcPr>
            <w:tcW w:w="2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Уровень благоустроенности территории населенных пунктов Вышнереутчанского сельсовета Медвенского района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83770">
              <w:rPr>
                <w:rFonts w:cs="Times New Roman"/>
                <w:color w:val="000000"/>
                <w:lang w:eastAsia="ru-RU" w:bidi="ar-SA"/>
              </w:rPr>
              <w:t>Увеличение на 100%</w:t>
            </w:r>
          </w:p>
        </w:tc>
      </w:tr>
    </w:tbl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83" name="Рисунок 8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A83770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муниципальной программы «Комплексное развитие сельских территорий Вышнереутчанского сельсовета Медвенского района Курской области» на 2020 – 2025 гг.</w:t>
        </w:r>
      </w:hyperlink>
      <w:r w:rsidRPr="00A8377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A83770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A83770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24.12.2019 07:26. Последнее изменение: 24.12.2019 07:26.</w:t>
      </w:r>
    </w:p>
    <w:p w:rsidR="00A83770" w:rsidRPr="00A83770" w:rsidRDefault="00A83770" w:rsidP="00A8377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A83770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915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A83770" w:rsidRPr="00A83770" w:rsidTr="00A8377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A83770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83770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83770" w:rsidRPr="00A83770" w:rsidRDefault="00A83770" w:rsidP="00A83770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A83770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A83770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A83770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811642" w:rsidRPr="00A83770" w:rsidRDefault="00811642" w:rsidP="00A83770"/>
    <w:sectPr w:rsidR="00811642" w:rsidRPr="00A83770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6FB1"/>
    <w:multiLevelType w:val="multilevel"/>
    <w:tmpl w:val="4732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C24"/>
    <w:rsid w:val="006E2FA3"/>
    <w:rsid w:val="00702CB0"/>
    <w:rsid w:val="007030FF"/>
    <w:rsid w:val="007A4FC6"/>
    <w:rsid w:val="007E00F2"/>
    <w:rsid w:val="007E4F41"/>
    <w:rsid w:val="00811642"/>
    <w:rsid w:val="00872E3C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B27B8"/>
    <w:rsid w:val="00BF00F6"/>
    <w:rsid w:val="00C048AB"/>
    <w:rsid w:val="00C8160B"/>
    <w:rsid w:val="00CE03B9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2221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3133&amp;print=1&amp;id_mat=3222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22</Pages>
  <Words>5439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53</cp:revision>
  <dcterms:created xsi:type="dcterms:W3CDTF">2023-10-01T10:30:00Z</dcterms:created>
  <dcterms:modified xsi:type="dcterms:W3CDTF">2023-10-01T13:04:00Z</dcterms:modified>
</cp:coreProperties>
</file>