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02" w:rsidRPr="00B82002" w:rsidRDefault="00B82002" w:rsidP="0067180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820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82002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"http://vishereut.rkursk.ru/index.php?mun_obr=270&amp;sub_menus_id=33133&amp;print=1&amp;id_mat=311396" </w:instrText>
      </w:r>
      <w:r w:rsidRPr="00B820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82002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B82002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B820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820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плана мероприятий по экологическому воспитанию населения </w:t>
      </w:r>
      <w:proofErr w:type="spellStart"/>
      <w:r w:rsidRPr="00B820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B820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B820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820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и формированию экологической культуры в области обращения с твердыми коммунальными отходами на 2019-2020 годы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27"/>
          <w:szCs w:val="27"/>
          <w:lang w:eastAsia="ru-RU" w:bidi="ar-SA"/>
        </w:rPr>
        <w:t>от 23.10.2019г. № 72</w:t>
      </w:r>
      <w:r w:rsidRPr="00B82002">
        <w:rPr>
          <w:rFonts w:ascii="Arial" w:hAnsi="Arial" w:cs="Arial"/>
          <w:color w:val="000000"/>
          <w:sz w:val="27"/>
          <w:szCs w:val="27"/>
          <w:lang w:eastAsia="ru-RU" w:bidi="ar-SA"/>
        </w:rPr>
        <w:t>-па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/>
        <w:ind w:righ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b/>
          <w:bCs/>
          <w:color w:val="000000"/>
          <w:lang w:eastAsia="ru-RU" w:bidi="ar-SA"/>
        </w:rPr>
        <w:t xml:space="preserve">Об утверждении плана мероприятий по экологическому воспитанию населения </w:t>
      </w:r>
      <w:proofErr w:type="spellStart"/>
      <w:r w:rsidRPr="00B82002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B82002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B82002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82002">
        <w:rPr>
          <w:rFonts w:cs="Times New Roman"/>
          <w:b/>
          <w:bCs/>
          <w:color w:val="000000"/>
          <w:lang w:eastAsia="ru-RU" w:bidi="ar-SA"/>
        </w:rPr>
        <w:t xml:space="preserve"> района и формированию экологической культуры в области обращения с твердыми коммунальными отходами на 2019-2020 годы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В целях эффективного осуществления полномочий в сфере обращения с твердыми коммунальными отходами, 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 Администрация 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Курской области,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1. Утвердить план мероприятий по экологическому воспитанию населения 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и формированию культуры в области обращения с твердыми коммунальными отходами на 2019-2020 годы согласно приложению.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исполнением настоящего распоряжения оставляю за собой.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сети Интернет.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B82002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82002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В.Н.Бабин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8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8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lang w:eastAsia="ru-RU" w:bidi="ar-SA"/>
        </w:rPr>
        <w:t>Приложение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lang w:eastAsia="ru-RU" w:bidi="ar-SA"/>
        </w:rPr>
        <w:t>к постановлению Администрации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82002">
        <w:rPr>
          <w:rFonts w:cs="Times New Roman"/>
          <w:color w:val="000000"/>
          <w:lang w:eastAsia="ru-RU" w:bidi="ar-SA"/>
        </w:rPr>
        <w:lastRenderedPageBreak/>
        <w:t>Вышнереутчанского</w:t>
      </w:r>
      <w:proofErr w:type="spellEnd"/>
      <w:r w:rsidRPr="00B82002">
        <w:rPr>
          <w:rFonts w:cs="Times New Roman"/>
          <w:color w:val="000000"/>
          <w:lang w:eastAsia="ru-RU" w:bidi="ar-SA"/>
        </w:rPr>
        <w:t xml:space="preserve"> сельсовета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82002">
        <w:rPr>
          <w:rFonts w:cs="Times New Roman"/>
          <w:color w:val="000000"/>
          <w:lang w:eastAsia="ru-RU" w:bidi="ar-SA"/>
        </w:rPr>
        <w:t>Медвенского</w:t>
      </w:r>
      <w:proofErr w:type="spellEnd"/>
      <w:r w:rsidRPr="00B82002">
        <w:rPr>
          <w:rFonts w:cs="Times New Roman"/>
          <w:color w:val="000000"/>
          <w:lang w:eastAsia="ru-RU" w:bidi="ar-SA"/>
        </w:rPr>
        <w:t xml:space="preserve"> района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color w:val="000000"/>
          <w:lang w:eastAsia="ru-RU" w:bidi="ar-SA"/>
        </w:rPr>
        <w:t>от 23.10.2019 № 72-па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b/>
          <w:bCs/>
          <w:color w:val="000000"/>
          <w:lang w:eastAsia="ru-RU" w:bidi="ar-SA"/>
        </w:rPr>
        <w:t>ПЛАН МЕРОПРИЯТИЙ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cs="Times New Roman"/>
          <w:b/>
          <w:bCs/>
          <w:color w:val="000000"/>
          <w:lang w:eastAsia="ru-RU" w:bidi="ar-SA"/>
        </w:rPr>
        <w:t xml:space="preserve">по экологическому воспитанию населения </w:t>
      </w:r>
      <w:proofErr w:type="spellStart"/>
      <w:r w:rsidRPr="00B82002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B82002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B82002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82002">
        <w:rPr>
          <w:rFonts w:cs="Times New Roman"/>
          <w:b/>
          <w:bCs/>
          <w:color w:val="000000"/>
          <w:lang w:eastAsia="ru-RU" w:bidi="ar-SA"/>
        </w:rPr>
        <w:t xml:space="preserve"> района и формированию культуры в области обращения с твердыми коммунальными отходами на 2019-2020 годы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831"/>
        <w:gridCol w:w="2249"/>
        <w:gridCol w:w="1625"/>
      </w:tblGrid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B82002">
              <w:rPr>
                <w:rFonts w:cs="Times New Roman"/>
                <w:lang w:eastAsia="ru-RU" w:bidi="ar-SA"/>
              </w:rPr>
              <w:t>п</w:t>
            </w:r>
            <w:proofErr w:type="spellEnd"/>
            <w:proofErr w:type="gramEnd"/>
            <w:r w:rsidRPr="00B82002">
              <w:rPr>
                <w:rFonts w:cs="Times New Roman"/>
                <w:lang w:eastAsia="ru-RU" w:bidi="ar-SA"/>
              </w:rPr>
              <w:t>/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Ответственные исполнители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Срок исполнения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1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Информирование населения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 об организациях, осуществляющих деятельность по обращению с отходами (сходы, письма, личные встречи)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ежеквартально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2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Размещение на официальном сайте муниципального образования «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сельсовет»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района информации о правильном обращении с отдельными видами отходов и о раздельном сборе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постоянно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3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Организация массовых экологических субботников с раздельным сбором отходов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2 раза в год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 xml:space="preserve">Проведение мероприятий, бесед, лекций, классных часов по экологическому воспитанию населения </w:t>
            </w:r>
            <w:proofErr w:type="spellStart"/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в течение года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Проведение рейдов по выявлению несанкционированных свалок на территории 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в течение года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 учреждениях образования и культуры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сельсовета;</w:t>
            </w:r>
          </w:p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МКУК «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СДК»;</w:t>
            </w:r>
          </w:p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B8200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библиотека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в течение года</w:t>
            </w:r>
          </w:p>
        </w:tc>
      </w:tr>
      <w:tr w:rsidR="00B82002" w:rsidRPr="00B82002" w:rsidTr="00B82002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t xml:space="preserve">Проведение бесед на сходах с гражданами по экологическому воспитанию и формированию экологической культуры в области обращения с </w:t>
            </w:r>
            <w:r w:rsidRPr="00B82002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твердыми коммунальными отходами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lastRenderedPageBreak/>
              <w:t xml:space="preserve">Администрация </w:t>
            </w:r>
            <w:proofErr w:type="spellStart"/>
            <w:r w:rsidRPr="00B82002">
              <w:rPr>
                <w:rFonts w:cs="Times New Roman"/>
                <w:lang w:eastAsia="ru-RU" w:bidi="ar-SA"/>
              </w:rPr>
              <w:lastRenderedPageBreak/>
              <w:t>Вышнереутчанского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lastRenderedPageBreak/>
              <w:t>в течение года</w:t>
            </w:r>
          </w:p>
        </w:tc>
      </w:tr>
    </w:tbl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1" name="Рисунок 9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B82002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плана мероприятий по экологическому воспитанию населения </w:t>
        </w:r>
        <w:proofErr w:type="spellStart"/>
        <w:r w:rsidRPr="00B82002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B82002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B82002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82002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и формированию экологической культуры в области обращения с твердыми коммунальными отходами на 2019-2020 годы</w:t>
        </w:r>
      </w:hyperlink>
      <w:r w:rsidRPr="00B820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B82002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B82002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B82002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82002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82002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05:34. Последнее изменение: 11.11.2019 05:34.</w:t>
      </w:r>
    </w:p>
    <w:p w:rsidR="00B82002" w:rsidRPr="00B82002" w:rsidRDefault="00B82002" w:rsidP="00B820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82002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746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82002" w:rsidRPr="00B82002" w:rsidTr="00B8200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B82002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82002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82002" w:rsidRPr="00B82002" w:rsidRDefault="00B82002" w:rsidP="00B82002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82002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82002">
              <w:rPr>
                <w:rFonts w:cs="Times New Roman"/>
                <w:lang w:eastAsia="ru-RU" w:bidi="ar-SA"/>
              </w:rPr>
              <w:br/>
            </w:r>
            <w:proofErr w:type="spellStart"/>
            <w:r w:rsidRPr="00B82002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82002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B82002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71809" w:rsidRPr="00B82002" w:rsidRDefault="00671809" w:rsidP="00B82002"/>
    <w:sectPr w:rsidR="00671809" w:rsidRPr="00B8200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232E"/>
    <w:multiLevelType w:val="multilevel"/>
    <w:tmpl w:val="BC52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809"/>
    <w:rsid w:val="00671C24"/>
    <w:rsid w:val="006B09D5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82002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6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57</cp:revision>
  <dcterms:created xsi:type="dcterms:W3CDTF">2023-10-01T10:30:00Z</dcterms:created>
  <dcterms:modified xsi:type="dcterms:W3CDTF">2023-10-01T13:05:00Z</dcterms:modified>
</cp:coreProperties>
</file>