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C6" w:rsidRPr="007A4FC6" w:rsidRDefault="007A4FC6" w:rsidP="007A4FC6">
      <w:pPr>
        <w:widowControl/>
        <w:numPr>
          <w:ilvl w:val="0"/>
          <w:numId w:val="17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7A4FC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7A4FC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"http://vishereut.rkursk.ru/index.php?mun_obr=270&amp;sub_menus_id=33135&amp;print=1&amp;id_mat=312272" </w:instrText>
      </w:r>
      <w:r w:rsidRPr="007A4FC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7A4FC6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7A4FC6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7A4FC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A4FC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структуре Администрации </w:t>
      </w:r>
      <w:proofErr w:type="spellStart"/>
      <w:r w:rsidRPr="007A4FC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7A4FC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b/>
          <w:bCs/>
          <w:color w:val="000000"/>
          <w:sz w:val="36"/>
          <w:lang w:eastAsia="ru-RU" w:bidi="ar-SA"/>
        </w:rPr>
        <w:t>МЕДВЕНСКОГО РАЙОНА КУРСКОЙ ОБЛАСТИ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7A4FC6">
        <w:rPr>
          <w:rFonts w:cs="Times New Roman"/>
          <w:color w:val="000000"/>
          <w:kern w:val="36"/>
          <w:sz w:val="27"/>
          <w:szCs w:val="27"/>
          <w:lang w:eastAsia="ru-RU" w:bidi="ar-SA"/>
        </w:rPr>
        <w:t>от 13 ноября 2019 г. № 3/22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36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b/>
          <w:bCs/>
          <w:color w:val="000000"/>
          <w:sz w:val="12"/>
          <w:lang w:eastAsia="ru-RU" w:bidi="ar-SA"/>
        </w:rPr>
        <w:t>О структуре Администрации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A4FC6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A4FC6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Курской области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Руководствуясь Уставом муниципального образования «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области, рассмотрев представленную Главой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структуру Администрации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района, Собрание депутатов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РЕШИЛО: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1.Утвердить прилагаемую структуру Администрации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с предельной штатной численностью 4 единицы.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2. Решение вступает в силу с 01.01.2020 года.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Председатель Собрания депутатов </w:t>
      </w:r>
      <w:proofErr w:type="spellStart"/>
      <w:r w:rsidRPr="007A4FC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сельсовета </w:t>
      </w:r>
      <w:proofErr w:type="spellStart"/>
      <w:r w:rsidRPr="007A4FC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</w:t>
      </w:r>
      <w:proofErr w:type="spellStart"/>
      <w:r w:rsidRPr="007A4FC6">
        <w:rPr>
          <w:rFonts w:cs="Times New Roman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7A4FC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A4FC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Утверждена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решением Собрания депутатов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firstLine="504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от13.11.2019г. №3/22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ГРАФИЧЕСКАЯ СХЕМА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Организационно-штатная структура Администрации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7A4FC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284"/>
        <w:ind w:left="28" w:hanging="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284"/>
        <w:ind w:left="28" w:hanging="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284"/>
        <w:ind w:left="578" w:firstLine="633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272" w:line="272" w:lineRule="atLeast"/>
        <w:ind w:right="-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FFFFFF"/>
        <w:autoSpaceDE/>
        <w:autoSpaceDN/>
        <w:adjustRightInd/>
        <w:spacing w:before="50" w:line="289" w:lineRule="atLeast"/>
        <w:ind w:left="6112" w:firstLine="16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/>
        <w:ind w:right="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spacing w:before="50" w:after="50"/>
        <w:ind w:firstLine="79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" name="Рисунок 2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7A4FC6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О структуре Администрации </w:t>
        </w:r>
        <w:proofErr w:type="spellStart"/>
        <w:r w:rsidRPr="007A4FC6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Вышнереутчанского</w:t>
        </w:r>
        <w:proofErr w:type="spellEnd"/>
        <w:r w:rsidRPr="007A4FC6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 сельсовета </w:t>
        </w:r>
        <w:proofErr w:type="spellStart"/>
        <w:r w:rsidRPr="007A4FC6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Медвенского</w:t>
        </w:r>
        <w:proofErr w:type="spellEnd"/>
        <w:r w:rsidRPr="007A4FC6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 xml:space="preserve"> района Курской области</w:t>
        </w:r>
      </w:hyperlink>
      <w:r w:rsidRPr="007A4FC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7A4FC6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7A4FC6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7A4FC6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7A4FC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7A4FC6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16:14. Последнее изменение: 13.11.2019 16:14.</w:t>
      </w:r>
    </w:p>
    <w:p w:rsidR="007A4FC6" w:rsidRPr="007A4FC6" w:rsidRDefault="007A4FC6" w:rsidP="007A4FC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A4FC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911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A4FC6" w:rsidRPr="007A4FC6" w:rsidTr="007A4FC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A4FC6" w:rsidRPr="007A4FC6" w:rsidRDefault="007A4FC6" w:rsidP="007A4FC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7A4FC6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A4FC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A4FC6" w:rsidRPr="007A4FC6" w:rsidRDefault="007A4FC6" w:rsidP="007A4FC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A4FC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7A4FC6">
              <w:rPr>
                <w:rFonts w:cs="Times New Roman"/>
                <w:lang w:eastAsia="ru-RU" w:bidi="ar-SA"/>
              </w:rPr>
              <w:br/>
            </w:r>
            <w:proofErr w:type="spellStart"/>
            <w:r w:rsidRPr="007A4FC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7A4FC6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7A4FC6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BC3340" w:rsidRPr="007A4FC6" w:rsidRDefault="00BC3340" w:rsidP="007A4FC6"/>
    <w:sectPr w:rsidR="00BC3340" w:rsidRPr="007A4FC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4648FA"/>
    <w:rsid w:val="00471E16"/>
    <w:rsid w:val="0058022D"/>
    <w:rsid w:val="00671C24"/>
    <w:rsid w:val="006E2FA3"/>
    <w:rsid w:val="007A4FC6"/>
    <w:rsid w:val="009E7089"/>
    <w:rsid w:val="00A14298"/>
    <w:rsid w:val="00AD516C"/>
    <w:rsid w:val="00B07F74"/>
    <w:rsid w:val="00B32CF8"/>
    <w:rsid w:val="00BC3340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7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dcterms:created xsi:type="dcterms:W3CDTF">2023-10-01T10:30:00Z</dcterms:created>
  <dcterms:modified xsi:type="dcterms:W3CDTF">2023-10-01T12:05:00Z</dcterms:modified>
</cp:coreProperties>
</file>